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9BCA" w14:textId="5B576215" w:rsidR="00784223" w:rsidRPr="007B08EB" w:rsidRDefault="000A773E" w:rsidP="00A24291">
      <w:pPr>
        <w:jc w:val="center"/>
        <w:rPr>
          <w:color w:val="0000FF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OPIS PRZEDMIOTU ZAMÓWIENIA</w:t>
      </w:r>
      <w:r w:rsidR="007B08EB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5B410E">
        <w:rPr>
          <w:rFonts w:asciiTheme="minorHAnsi" w:hAnsiTheme="minorHAnsi" w:cstheme="minorHAnsi"/>
          <w:b/>
          <w:color w:val="0000FF"/>
          <w:sz w:val="24"/>
          <w:szCs w:val="24"/>
        </w:rPr>
        <w:t>– laptop 10</w:t>
      </w:r>
      <w:r w:rsidR="0057000B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szt.</w:t>
      </w:r>
    </w:p>
    <w:tbl>
      <w:tblPr>
        <w:tblpPr w:leftFromText="142" w:rightFromText="142" w:vertAnchor="text" w:tblpX="-918" w:tblpY="1"/>
        <w:tblW w:w="5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14"/>
        <w:gridCol w:w="9087"/>
      </w:tblGrid>
      <w:tr w:rsidR="008C7C9A" w:rsidRPr="008C7C9A" w14:paraId="772955AD" w14:textId="77777777" w:rsidTr="00784223">
        <w:trPr>
          <w:cantSplit/>
          <w:trHeight w:val="283"/>
        </w:trPr>
        <w:tc>
          <w:tcPr>
            <w:tcW w:w="832" w:type="pct"/>
            <w:vAlign w:val="center"/>
          </w:tcPr>
          <w:p w14:paraId="302A40C3" w14:textId="77777777" w:rsidR="0006748B" w:rsidRPr="008C7C9A" w:rsidRDefault="0006748B" w:rsidP="0078422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black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Nazwa</w:t>
            </w:r>
          </w:p>
        </w:tc>
        <w:tc>
          <w:tcPr>
            <w:tcW w:w="4168" w:type="pct"/>
            <w:vAlign w:val="center"/>
          </w:tcPr>
          <w:p w14:paraId="60033C33" w14:textId="77777777" w:rsidR="0006748B" w:rsidRPr="008C7C9A" w:rsidRDefault="0006748B" w:rsidP="00784223">
            <w:pPr>
              <w:shd w:val="clear" w:color="auto" w:fill="FFFFFF" w:themeFill="background1"/>
              <w:ind w:left="-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Wymagane minimalne parametry techniczne </w:t>
            </w:r>
          </w:p>
        </w:tc>
      </w:tr>
      <w:tr w:rsidR="008C7C9A" w:rsidRPr="008C7C9A" w14:paraId="11954DED" w14:textId="77777777" w:rsidTr="00784223">
        <w:trPr>
          <w:cantSplit/>
          <w:trHeight w:val="284"/>
        </w:trPr>
        <w:tc>
          <w:tcPr>
            <w:tcW w:w="832" w:type="pct"/>
          </w:tcPr>
          <w:p w14:paraId="07C8D64C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Typ</w:t>
            </w:r>
          </w:p>
        </w:tc>
        <w:tc>
          <w:tcPr>
            <w:tcW w:w="4168" w:type="pct"/>
          </w:tcPr>
          <w:p w14:paraId="245091C4" w14:textId="226088A6" w:rsidR="00CF62F0" w:rsidRPr="00CF62F0" w:rsidRDefault="005B410E" w:rsidP="00CF62F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Komputer przenośny </w:t>
            </w:r>
            <w:r w:rsidR="00BD015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–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laptop</w:t>
            </w:r>
            <w:r w:rsidR="00BD015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15,6”</w:t>
            </w:r>
            <w:r w:rsidR="000674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. </w:t>
            </w:r>
            <w:r w:rsidR="00CF62F0" w:rsidRPr="00CF62F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ofercie należy podać nazwę producenta, typ, model, oraz numer</w:t>
            </w:r>
          </w:p>
          <w:p w14:paraId="3ED1CC3E" w14:textId="5EB24059" w:rsidR="00247787" w:rsidRPr="008C7C9A" w:rsidRDefault="00CF62F0" w:rsidP="00CF62F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CF62F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katalogowy oferowanego sprzętu umożliwia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jący jednoznaczną identyfikację </w:t>
            </w:r>
            <w:r w:rsidR="005B410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oferowanej konfiguracji</w:t>
            </w:r>
            <w:r w:rsidR="000132D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. </w:t>
            </w:r>
            <w:r w:rsidR="00247787" w:rsidRPr="006B2D8E">
              <w:rPr>
                <w:rFonts w:asciiTheme="minorHAnsi" w:hAnsiTheme="minorHAnsi" w:cstheme="minorHAnsi"/>
                <w:color w:val="000000" w:themeColor="text1"/>
                <w:sz w:val="20"/>
              </w:rPr>
              <w:t>Wymagane jest zaoferowanie jednolitego modelu zawierającego jednolite wersje komponentów dla całej puli urządzeń objętych zamówieniem.</w:t>
            </w:r>
            <w:r w:rsidR="00713DC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713DC3" w:rsidRPr="00713DC3">
              <w:rPr>
                <w:rFonts w:asciiTheme="minorHAnsi" w:hAnsiTheme="minorHAnsi" w:cstheme="minorHAnsi"/>
                <w:color w:val="000000" w:themeColor="text1"/>
                <w:sz w:val="20"/>
              </w:rPr>
              <w:t>Dostarczany sprzęt musi być fabrycznie nowy i pochodzić z najnowszych linii produktowych.</w:t>
            </w:r>
          </w:p>
        </w:tc>
      </w:tr>
      <w:tr w:rsidR="008C7C9A" w:rsidRPr="008C7C9A" w14:paraId="05FBDA1F" w14:textId="77777777" w:rsidTr="00784223">
        <w:trPr>
          <w:cantSplit/>
          <w:trHeight w:val="284"/>
        </w:trPr>
        <w:tc>
          <w:tcPr>
            <w:tcW w:w="832" w:type="pct"/>
          </w:tcPr>
          <w:p w14:paraId="27DB4A0D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Zastosowanie</w:t>
            </w:r>
          </w:p>
        </w:tc>
        <w:tc>
          <w:tcPr>
            <w:tcW w:w="4168" w:type="pct"/>
          </w:tcPr>
          <w:p w14:paraId="22B49D1B" w14:textId="4F9569F4" w:rsidR="0006748B" w:rsidRPr="008C7C9A" w:rsidRDefault="0006748B" w:rsidP="005B410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Komputer będzie wykorzystywany dla potrzeb aplikacji biurowych, aplikacji edukacy</w:t>
            </w:r>
            <w:r w:rsidR="005B410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jnych, aplikacji obliczeniowych</w:t>
            </w:r>
            <w:r w:rsidR="00713DC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dostępu do Internetu oraz poczty elektronicznej, jako lokalna baza danych</w:t>
            </w:r>
            <w:r w:rsidR="006C1E8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</w:tc>
      </w:tr>
      <w:tr w:rsidR="008C7C9A" w:rsidRPr="008C7C9A" w14:paraId="65B66A69" w14:textId="77777777" w:rsidTr="00784223">
        <w:trPr>
          <w:cantSplit/>
          <w:trHeight w:val="284"/>
        </w:trPr>
        <w:tc>
          <w:tcPr>
            <w:tcW w:w="832" w:type="pct"/>
          </w:tcPr>
          <w:p w14:paraId="29EB8B6A" w14:textId="0EE4575C" w:rsidR="0006748B" w:rsidRPr="008C7C9A" w:rsidRDefault="009D59C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Procesor</w:t>
            </w:r>
          </w:p>
        </w:tc>
        <w:tc>
          <w:tcPr>
            <w:tcW w:w="4168" w:type="pct"/>
          </w:tcPr>
          <w:p w14:paraId="679BF943" w14:textId="71573676" w:rsidR="00737CF6" w:rsidRPr="008C7C9A" w:rsidRDefault="00C066D6" w:rsidP="00BD015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Procesor wielordzeniowy</w:t>
            </w:r>
            <w:r w:rsidR="00982E32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 o wysokiej wydajności</w:t>
            </w:r>
            <w:r w:rsidR="009D59C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, zaprojektowany do pracy </w:t>
            </w:r>
            <w:r w:rsidR="00982E32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wielozadaniowej oraz obsługi aplikacji wymagających dużej mocy </w:t>
            </w:r>
            <w:r w:rsidR="00982E32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>obliczeniowej</w:t>
            </w:r>
            <w:r w:rsidR="00A2277B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</w:t>
            </w:r>
            <w:r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osiągający w teście PassMark CPU Mark wynik min. </w:t>
            </w:r>
            <w:r w:rsidR="00BD0153">
              <w:rPr>
                <w:rFonts w:asciiTheme="minorHAnsi" w:hAnsiTheme="minorHAnsi" w:cstheme="minorHAnsi"/>
                <w:bCs/>
                <w:sz w:val="20"/>
                <w:lang w:eastAsia="en-US"/>
              </w:rPr>
              <w:t>15000</w:t>
            </w:r>
            <w:r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punktów według wyników ze strony </w:t>
            </w:r>
            <w:hyperlink r:id="rId8" w:history="1">
              <w:r w:rsidRPr="00C44AD6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lang w:eastAsia="en-US"/>
                </w:rPr>
                <w:t>https://www.cpubenchmark.net</w:t>
              </w:r>
            </w:hyperlink>
            <w:r w:rsidRPr="00BD0153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</w:t>
            </w:r>
            <w:r w:rsidR="00BD0153" w:rsidRPr="00BD0153">
              <w:rPr>
                <w:rFonts w:asciiTheme="minorHAnsi" w:hAnsiTheme="minorHAnsi" w:cstheme="minorHAnsi"/>
                <w:bCs/>
                <w:sz w:val="20"/>
                <w:lang w:eastAsia="en-US"/>
              </w:rPr>
              <w:t>(Multithread Rating)</w:t>
            </w:r>
          </w:p>
        </w:tc>
      </w:tr>
      <w:tr w:rsidR="00C475EE" w:rsidRPr="008C7C9A" w14:paraId="5532A8CF" w14:textId="77777777" w:rsidTr="00784223">
        <w:trPr>
          <w:cantSplit/>
          <w:trHeight w:val="284"/>
        </w:trPr>
        <w:tc>
          <w:tcPr>
            <w:tcW w:w="832" w:type="pct"/>
          </w:tcPr>
          <w:p w14:paraId="3A2BC9B4" w14:textId="5338BFDA" w:rsidR="00C475EE" w:rsidRPr="008C7C9A" w:rsidRDefault="00C475EE" w:rsidP="00C475E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C475E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Płyta główna </w:t>
            </w:r>
          </w:p>
        </w:tc>
        <w:tc>
          <w:tcPr>
            <w:tcW w:w="4168" w:type="pct"/>
          </w:tcPr>
          <w:p w14:paraId="3CE5C13A" w14:textId="352A9561" w:rsidR="00C475EE" w:rsidRPr="008C7C9A" w:rsidRDefault="00513619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Płyta główna</w:t>
            </w:r>
            <w:r w:rsidR="00C475EE" w:rsidRPr="00C475EE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 z chipsetem rekomendowanym przez producenta procesora</w:t>
            </w:r>
          </w:p>
        </w:tc>
      </w:tr>
      <w:tr w:rsidR="008C7C9A" w:rsidRPr="008C7C9A" w14:paraId="09561E20" w14:textId="77777777" w:rsidTr="000132DE">
        <w:trPr>
          <w:cantSplit/>
          <w:trHeight w:val="117"/>
        </w:trPr>
        <w:tc>
          <w:tcPr>
            <w:tcW w:w="832" w:type="pct"/>
          </w:tcPr>
          <w:p w14:paraId="221D2DA4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Pamięć RAM</w:t>
            </w:r>
          </w:p>
        </w:tc>
        <w:tc>
          <w:tcPr>
            <w:tcW w:w="4168" w:type="pct"/>
          </w:tcPr>
          <w:p w14:paraId="67E2F822" w14:textId="330CFC72" w:rsidR="00311E7F" w:rsidRPr="008C7C9A" w:rsidRDefault="000132DE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32</w:t>
            </w:r>
            <w:r w:rsidR="00B17954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GB</w:t>
            </w:r>
          </w:p>
        </w:tc>
      </w:tr>
      <w:tr w:rsidR="008C7C9A" w:rsidRPr="008C7C9A" w14:paraId="4A0EE57B" w14:textId="77777777" w:rsidTr="0059689E">
        <w:trPr>
          <w:cantSplit/>
          <w:trHeight w:val="419"/>
        </w:trPr>
        <w:tc>
          <w:tcPr>
            <w:tcW w:w="832" w:type="pct"/>
          </w:tcPr>
          <w:p w14:paraId="47CE6912" w14:textId="77777777" w:rsidR="0006748B" w:rsidRPr="008C7C9A" w:rsidRDefault="00B14809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</w:t>
            </w:r>
            <w:r w:rsidR="0006748B"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ami</w:t>
            </w: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ęć</w:t>
            </w:r>
            <w:r w:rsidR="0006748B"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masow</w:t>
            </w: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</w:t>
            </w:r>
          </w:p>
        </w:tc>
        <w:tc>
          <w:tcPr>
            <w:tcW w:w="4168" w:type="pct"/>
          </w:tcPr>
          <w:p w14:paraId="376C1FDB" w14:textId="5ED51B0A" w:rsidR="00633C7F" w:rsidRPr="005B410E" w:rsidRDefault="00F66767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512 G</w:t>
            </w:r>
            <w:r w:rsidR="000132D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B</w:t>
            </w:r>
            <w:r w:rsidR="008A2CB8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SSD</w:t>
            </w:r>
            <w:r w:rsidR="00982E32" w:rsidRPr="00A2277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zapewniający szybki zapis i odczyt danych</w:t>
            </w:r>
          </w:p>
        </w:tc>
      </w:tr>
      <w:tr w:rsidR="008C7C9A" w:rsidRPr="008C7C9A" w14:paraId="136BDD10" w14:textId="77777777" w:rsidTr="00784223">
        <w:trPr>
          <w:cantSplit/>
          <w:trHeight w:val="284"/>
        </w:trPr>
        <w:tc>
          <w:tcPr>
            <w:tcW w:w="832" w:type="pct"/>
          </w:tcPr>
          <w:p w14:paraId="3886801E" w14:textId="0B4A50D3" w:rsidR="0006748B" w:rsidRPr="008C7C9A" w:rsidRDefault="009D59C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Karta graficzna</w:t>
            </w:r>
          </w:p>
        </w:tc>
        <w:tc>
          <w:tcPr>
            <w:tcW w:w="4168" w:type="pct"/>
          </w:tcPr>
          <w:p w14:paraId="30504B77" w14:textId="648221FE" w:rsidR="00BC18AD" w:rsidRPr="00F66767" w:rsidRDefault="005B410E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zintegrowana</w:t>
            </w:r>
            <w:r w:rsidR="009D59C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 karta graficzna</w:t>
            </w:r>
            <w:r w:rsidR="0096575F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.</w:t>
            </w:r>
          </w:p>
        </w:tc>
      </w:tr>
      <w:tr w:rsidR="00493DB9" w:rsidRPr="008C7C9A" w14:paraId="3D4490FA" w14:textId="77777777" w:rsidTr="00784223">
        <w:trPr>
          <w:cantSplit/>
          <w:trHeight w:val="284"/>
        </w:trPr>
        <w:tc>
          <w:tcPr>
            <w:tcW w:w="832" w:type="pct"/>
          </w:tcPr>
          <w:p w14:paraId="59B398DD" w14:textId="7E837193" w:rsidR="00493DB9" w:rsidRPr="008C7C9A" w:rsidRDefault="00493DB9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System operacyjny </w:t>
            </w:r>
          </w:p>
        </w:tc>
        <w:tc>
          <w:tcPr>
            <w:tcW w:w="4168" w:type="pct"/>
          </w:tcPr>
          <w:p w14:paraId="1962D3A6" w14:textId="7B318A24" w:rsidR="00493DB9" w:rsidRPr="00493DB9" w:rsidRDefault="00493DB9" w:rsidP="00493DB9">
            <w:pPr>
              <w:pStyle w:val="Default"/>
              <w:jc w:val="both"/>
              <w:rPr>
                <w:sz w:val="20"/>
                <w:szCs w:val="20"/>
                <w:lang w:val="pl-PL"/>
              </w:rPr>
            </w:pPr>
            <w:r w:rsidRPr="00493DB9">
              <w:rPr>
                <w:sz w:val="20"/>
                <w:szCs w:val="20"/>
                <w:lang w:val="pl-PL"/>
              </w:rPr>
              <w:t>Zainstalowany na dysku system Microsoft Windows 1</w:t>
            </w:r>
            <w:r>
              <w:rPr>
                <w:sz w:val="20"/>
                <w:szCs w:val="20"/>
                <w:lang w:val="pl-PL"/>
              </w:rPr>
              <w:t>1</w:t>
            </w:r>
            <w:r w:rsidRPr="00493DB9">
              <w:rPr>
                <w:sz w:val="20"/>
                <w:szCs w:val="20"/>
                <w:lang w:val="pl-PL"/>
              </w:rPr>
              <w:t xml:space="preserve"> Professional lub równoważny, w wersji 64 bit w polskiej wersji językowej (wraz z licencją) pozwalający na ponowną instalację systemu niewymagającą wpisywania klucza rejestracyjnego lub rejestracji poprzez Internet czy telefon. </w:t>
            </w:r>
          </w:p>
          <w:p w14:paraId="6AC9120E" w14:textId="77777777" w:rsidR="00493DB9" w:rsidRDefault="00493DB9" w:rsidP="00493DB9">
            <w:pPr>
              <w:pStyle w:val="Default"/>
              <w:jc w:val="both"/>
              <w:rPr>
                <w:sz w:val="20"/>
                <w:szCs w:val="20"/>
                <w:lang w:val="pl-PL"/>
              </w:rPr>
            </w:pPr>
            <w:r w:rsidRPr="00493DB9">
              <w:rPr>
                <w:sz w:val="20"/>
                <w:szCs w:val="20"/>
                <w:lang w:val="pl-PL"/>
              </w:rPr>
              <w:t>W przypadku zaoferowania oprogramowania równoważnego do system</w:t>
            </w:r>
            <w:r>
              <w:rPr>
                <w:sz w:val="20"/>
                <w:szCs w:val="20"/>
                <w:lang w:val="pl-PL"/>
              </w:rPr>
              <w:t>u</w:t>
            </w:r>
            <w:r w:rsidRPr="00493DB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493DB9">
              <w:rPr>
                <w:sz w:val="20"/>
                <w:szCs w:val="20"/>
                <w:lang w:val="pl-PL"/>
              </w:rPr>
              <w:t>operacyjnego Microsoft Windows 1</w:t>
            </w:r>
            <w:r>
              <w:rPr>
                <w:sz w:val="20"/>
                <w:szCs w:val="20"/>
                <w:lang w:val="pl-PL"/>
              </w:rPr>
              <w:t>1</w:t>
            </w:r>
            <w:r w:rsidRPr="00493DB9">
              <w:rPr>
                <w:sz w:val="20"/>
                <w:szCs w:val="20"/>
                <w:lang w:val="pl-PL"/>
              </w:rPr>
              <w:t xml:space="preserve"> Pro x64 , oprogramowanie musi spełniać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493DB9">
              <w:rPr>
                <w:sz w:val="20"/>
                <w:szCs w:val="20"/>
                <w:lang w:val="pl-PL"/>
              </w:rPr>
              <w:t>minimalne wymagania</w:t>
            </w:r>
            <w:r>
              <w:rPr>
                <w:sz w:val="20"/>
                <w:szCs w:val="20"/>
                <w:lang w:val="pl-PL"/>
              </w:rPr>
              <w:t>:</w:t>
            </w:r>
          </w:p>
          <w:p w14:paraId="7834012C" w14:textId="5935A89B" w:rsidR="00493DB9" w:rsidRPr="00DE6E12" w:rsidRDefault="00493DB9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1) System operacyjny dla komputerów stacjonarnych oraz przenośnych, z graficznym interfejsem użytkownika.</w:t>
            </w:r>
          </w:p>
          <w:p w14:paraId="7E1DEC1E" w14:textId="18BA38C0" w:rsidR="00493DB9" w:rsidRPr="00DE6E12" w:rsidRDefault="00493DB9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2) System operacyjny musi pozwalać na uruchomienie i pracę z aplikacjami użytkowanymi przez Zamawiającego, w szczególności: MS Office 20</w:t>
            </w:r>
            <w:r w:rsidR="00B371D2" w:rsidRPr="00DE6E12">
              <w:rPr>
                <w:color w:val="auto"/>
                <w:sz w:val="20"/>
                <w:szCs w:val="20"/>
                <w:lang w:val="pl-PL"/>
              </w:rPr>
              <w:t>24</w:t>
            </w:r>
            <w:r w:rsidRPr="00DE6E12">
              <w:rPr>
                <w:color w:val="auto"/>
                <w:sz w:val="20"/>
                <w:szCs w:val="20"/>
                <w:lang w:val="pl-PL"/>
              </w:rPr>
              <w:t>,</w:t>
            </w:r>
            <w:r w:rsidR="00FC4E7F" w:rsidRPr="00DE6E12">
              <w:rPr>
                <w:color w:val="auto"/>
                <w:sz w:val="20"/>
                <w:szCs w:val="20"/>
                <w:lang w:val="pl-PL"/>
              </w:rPr>
              <w:t xml:space="preserve"> 2021. 2019.</w:t>
            </w:r>
          </w:p>
          <w:p w14:paraId="4DFF91B4" w14:textId="4F5CA7B9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3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Interfejsy użytkownika dostępne w wielu językach do wyboru – w tym Polskim i Angielskim.</w:t>
            </w:r>
          </w:p>
          <w:p w14:paraId="6085846D" w14:textId="508B0E4E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4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Wbudowany system pomocy w języku polskim.</w:t>
            </w:r>
          </w:p>
          <w:p w14:paraId="7D3621DC" w14:textId="6FA773E6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5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Graficzne środowisko instalacji i konfiguracji dostępne w języku polskim.</w:t>
            </w:r>
          </w:p>
          <w:p w14:paraId="67A0ABAE" w14:textId="6A779AB2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6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</w:t>
            </w:r>
            <w:r w:rsidR="00455354">
              <w:rPr>
                <w:color w:val="auto"/>
                <w:sz w:val="20"/>
                <w:szCs w:val="20"/>
                <w:lang w:val="pl-PL"/>
              </w:rPr>
              <w:t>.</w:t>
            </w:r>
          </w:p>
          <w:p w14:paraId="43AFE14B" w14:textId="77777777" w:rsidR="00FC4E7F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 xml:space="preserve">7)zapewniający pełną integrację z usługą katalogową </w:t>
            </w:r>
            <w:r w:rsidR="00DE56A1" w:rsidRPr="00DE6E12">
              <w:rPr>
                <w:color w:val="auto"/>
                <w:sz w:val="20"/>
                <w:szCs w:val="20"/>
                <w:lang w:val="pl-PL"/>
              </w:rPr>
              <w:t>Microsoft Active Directory</w:t>
            </w:r>
          </w:p>
          <w:p w14:paraId="395422BE" w14:textId="77777777" w:rsidR="00DE56A1" w:rsidRPr="00DE6E12" w:rsidRDefault="00DE56A1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8)Zapewniający nawiązanie połączenia z komputerem za pomocą funkcji pulpit zdalny</w:t>
            </w:r>
          </w:p>
          <w:p w14:paraId="518D259A" w14:textId="77777777" w:rsidR="00DE56A1" w:rsidRPr="00DE6E12" w:rsidRDefault="00DE56A1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9)wsparcie dla środowisk Java i NETFramework – możliwość uruchomienia aplikacji we wskazanych środowiskach</w:t>
            </w:r>
          </w:p>
          <w:p w14:paraId="64A30FF8" w14:textId="77777777" w:rsidR="00DE56A1" w:rsidRPr="00DE6E12" w:rsidRDefault="00DE56A1" w:rsidP="00DE56A1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 xml:space="preserve">10)możliwość zarządzania stacją poprzez polityki grupowe – przez politykę rozumie się </w:t>
            </w:r>
            <w:r w:rsidR="00DE6E12" w:rsidRPr="00DE6E12">
              <w:rPr>
                <w:color w:val="auto"/>
                <w:sz w:val="20"/>
                <w:szCs w:val="20"/>
                <w:lang w:val="pl-PL"/>
              </w:rPr>
              <w:t>zestaw reguł definiują</w:t>
            </w:r>
            <w:r w:rsidRPr="00DE6E12">
              <w:rPr>
                <w:color w:val="auto"/>
                <w:sz w:val="20"/>
                <w:szCs w:val="20"/>
                <w:lang w:val="pl-PL"/>
              </w:rPr>
              <w:t xml:space="preserve">cych lub ograniczających </w:t>
            </w:r>
            <w:r w:rsidR="00DE6E12" w:rsidRPr="00DE6E12">
              <w:rPr>
                <w:color w:val="auto"/>
                <w:sz w:val="20"/>
                <w:szCs w:val="20"/>
                <w:lang w:val="pl-PL"/>
              </w:rPr>
              <w:t>funkcjonalność systemu lub aplikacji</w:t>
            </w:r>
          </w:p>
          <w:p w14:paraId="6E1D1CA4" w14:textId="2BD2E3E7" w:rsidR="00DE6E12" w:rsidRPr="00DE6E12" w:rsidRDefault="00DE6E12" w:rsidP="00DE6E12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11) Wbudowana zapora internetowa (firewall) dla ochrony połączeń internetowych; zintegrowana z systemem konsola do zarządzania ustawieniami zapory i regułami IP v4 i v6.</w:t>
            </w:r>
          </w:p>
          <w:p w14:paraId="6DE0BE80" w14:textId="77777777" w:rsidR="00DE6E12" w:rsidRPr="00DE6E12" w:rsidRDefault="00DE6E12" w:rsidP="00DE6E12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12) Wbudowane mechanizmy ochrony antywirusowej i przeciw złośliwemu oprogramowaniu z zapewnionymi bezpłatnymi aktualizacjami.</w:t>
            </w:r>
          </w:p>
          <w:p w14:paraId="59FC4088" w14:textId="61F91621" w:rsidR="00DE6E12" w:rsidRPr="00DE56A1" w:rsidRDefault="00DE6E12" w:rsidP="00DE6E12">
            <w:pPr>
              <w:pStyle w:val="Default"/>
              <w:jc w:val="both"/>
              <w:rPr>
                <w:color w:val="EE0000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13) Wsparcie dla większości powszechnie używanych urządzeń peryferyjnych (drukarek, urządzeń sieciowych, standardów USB, Plug&amp;Play, Wi-Fi).</w:t>
            </w:r>
          </w:p>
        </w:tc>
      </w:tr>
      <w:tr w:rsidR="008C7C9A" w:rsidRPr="008C7C9A" w14:paraId="0A21C163" w14:textId="77777777" w:rsidTr="00784223">
        <w:trPr>
          <w:cantSplit/>
          <w:trHeight w:val="284"/>
        </w:trPr>
        <w:tc>
          <w:tcPr>
            <w:tcW w:w="832" w:type="pct"/>
          </w:tcPr>
          <w:p w14:paraId="5D2CC30C" w14:textId="1E036E54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Wyposażenie multimedialne</w:t>
            </w:r>
          </w:p>
        </w:tc>
        <w:tc>
          <w:tcPr>
            <w:tcW w:w="4168" w:type="pct"/>
          </w:tcPr>
          <w:p w14:paraId="3BB4A93F" w14:textId="77777777" w:rsidR="00AB2C24" w:rsidRDefault="000674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Karta dźwiękowa zintegrowana z płytą główną</w:t>
            </w:r>
            <w:r w:rsidR="004B68BF" w:rsidRPr="00553A6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4B68BF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5EF578A2" w14:textId="7B683A47" w:rsidR="0096575F" w:rsidRPr="008C7C9A" w:rsidRDefault="0096575F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</w:p>
        </w:tc>
      </w:tr>
      <w:tr w:rsidR="008C7C9A" w:rsidRPr="008C7C9A" w14:paraId="19CC8233" w14:textId="77777777" w:rsidTr="00784223">
        <w:trPr>
          <w:cantSplit/>
          <w:trHeight w:val="284"/>
        </w:trPr>
        <w:tc>
          <w:tcPr>
            <w:tcW w:w="832" w:type="pct"/>
          </w:tcPr>
          <w:p w14:paraId="4C04A0F8" w14:textId="77777777" w:rsidR="0006748B" w:rsidRPr="008C7C9A" w:rsidRDefault="0006748B" w:rsidP="00784223">
            <w:pPr>
              <w:ind w:left="360" w:hanging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Obudowa</w:t>
            </w:r>
          </w:p>
        </w:tc>
        <w:tc>
          <w:tcPr>
            <w:tcW w:w="4168" w:type="pct"/>
          </w:tcPr>
          <w:p w14:paraId="7760B953" w14:textId="77777777" w:rsidR="008A2CB8" w:rsidRPr="008A2CB8" w:rsidRDefault="008A2CB8" w:rsidP="008A2CB8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A2CB8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Obudowa komputera wykonana z materiałów o podwyższonej odporności na uszkodzenia</w:t>
            </w:r>
          </w:p>
          <w:p w14:paraId="238E40DE" w14:textId="222BE0BA" w:rsidR="000132DE" w:rsidRDefault="008A2CB8" w:rsidP="008A2CB8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A2CB8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mechaniczne oraz przystosowana do pracy w trudnych warunkach termicznych</w:t>
            </w:r>
            <w:r w:rsidR="00455354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8F367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0132DE" w:rsidRPr="00E3741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Efektywny system chłodzenia zapewniający stabilną pracę urządzenia pod pełnym obciążeniem</w:t>
            </w:r>
            <w:r w:rsidR="00455354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45A744D5" w14:textId="77777777" w:rsidR="0006748B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9E4EF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Każdy komputer musi być oznaczony niepowtarzalnym numerem seryjnym umieszonym na obudowie, oraz wpisanym na stałe w BIOS.</w:t>
            </w:r>
          </w:p>
          <w:p w14:paraId="3933F861" w14:textId="41CEB9D2" w:rsidR="00965CEA" w:rsidRPr="008C7C9A" w:rsidRDefault="00965CEA" w:rsidP="00254B0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</w:p>
        </w:tc>
      </w:tr>
      <w:tr w:rsidR="008C7C9A" w:rsidRPr="008C7C9A" w14:paraId="37F504E7" w14:textId="77777777" w:rsidTr="00784223">
        <w:trPr>
          <w:cantSplit/>
          <w:trHeight w:val="284"/>
        </w:trPr>
        <w:tc>
          <w:tcPr>
            <w:tcW w:w="832" w:type="pct"/>
          </w:tcPr>
          <w:p w14:paraId="37FFD75E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Bezpieczeństwo</w:t>
            </w:r>
          </w:p>
        </w:tc>
        <w:tc>
          <w:tcPr>
            <w:tcW w:w="4168" w:type="pct"/>
          </w:tcPr>
          <w:p w14:paraId="180936B5" w14:textId="73E5990E" w:rsidR="009D7B8B" w:rsidRPr="009D7B8B" w:rsidRDefault="00153E65" w:rsidP="009D7B8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a) </w:t>
            </w:r>
            <w:r w:rsidR="009D7B8B" w:rsidRPr="009D7B8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zintegrowany układ szyfrujący Trusted Platform Module w wersji 2.0</w:t>
            </w:r>
          </w:p>
          <w:p w14:paraId="7C0070D1" w14:textId="50158E98" w:rsidR="009D7B8B" w:rsidRPr="008C7C9A" w:rsidRDefault="00153E65" w:rsidP="009D7B8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lastRenderedPageBreak/>
              <w:t xml:space="preserve">b) </w:t>
            </w:r>
            <w:r w:rsidR="009D7B8B" w:rsidRPr="009D7B8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obudowa laptopa musi umożliwiać zastosowanie zabezpieczenia fizycznego w postaci linki metalowej (złącze blokady Kensington/Nobel Lock) lub rozwiązanie równoważne, spełniające funkcję łatwego mocowania urządzenia przez użytkownika, zabezpieczającego </w:t>
            </w:r>
            <w:r w:rsidR="00BC112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</w:t>
            </w:r>
            <w:r w:rsidR="009D7B8B" w:rsidRPr="009D7B8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aptopa przed kradzieżą</w:t>
            </w:r>
            <w:r w:rsidR="00302DE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</w:tc>
      </w:tr>
      <w:tr w:rsidR="008C7C9A" w:rsidRPr="008C7C9A" w14:paraId="1EDAA5C0" w14:textId="77777777" w:rsidTr="00784223">
        <w:trPr>
          <w:cantSplit/>
          <w:trHeight w:val="284"/>
        </w:trPr>
        <w:tc>
          <w:tcPr>
            <w:tcW w:w="832" w:type="pct"/>
          </w:tcPr>
          <w:p w14:paraId="4DC9D8E0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Wirtualizacja</w:t>
            </w:r>
          </w:p>
        </w:tc>
        <w:tc>
          <w:tcPr>
            <w:tcW w:w="4168" w:type="pct"/>
          </w:tcPr>
          <w:p w14:paraId="5391E3BD" w14:textId="77777777" w:rsidR="0006748B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Sprzętowe wsparcie technologii wirtualizacji realizowane łącznie w procesorze, chipsecie płyty głównej oraz </w:t>
            </w:r>
            <w:r w:rsidR="001373F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BIOS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systemu.</w:t>
            </w:r>
          </w:p>
        </w:tc>
      </w:tr>
      <w:tr w:rsidR="008C7C9A" w:rsidRPr="008C7C9A" w14:paraId="786FCC3F" w14:textId="77777777" w:rsidTr="00784223">
        <w:trPr>
          <w:cantSplit/>
          <w:trHeight w:val="284"/>
        </w:trPr>
        <w:tc>
          <w:tcPr>
            <w:tcW w:w="832" w:type="pct"/>
          </w:tcPr>
          <w:p w14:paraId="4515734B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BIOS</w:t>
            </w:r>
          </w:p>
        </w:tc>
        <w:tc>
          <w:tcPr>
            <w:tcW w:w="4168" w:type="pct"/>
          </w:tcPr>
          <w:p w14:paraId="62F4D518" w14:textId="660C3A81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BIOS zgodny ze specyfikacją UEFI, wyprodukowany przez producenta komputera, zawierający logo lub nazwę producenta komputera lub nazw</w:t>
            </w:r>
            <w:r w:rsidR="00766A38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ę modelu oferowanego komputera.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Pełna obsługa BIOS </w:t>
            </w:r>
            <w:r w:rsidR="00BE265F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za pomocą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myszy</w:t>
            </w:r>
            <w:r w:rsidR="00C634E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(przez pełną obsługę za pomocą myszy rozumie się możliwość swobodnego poruszania się po menu we/wy oraz wł/wy funkcji bez używania klawiatury).</w:t>
            </w:r>
          </w:p>
          <w:p w14:paraId="3F758745" w14:textId="77777777" w:rsidR="00D906AC" w:rsidRPr="008C7C9A" w:rsidRDefault="00D906AC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Informacje dostępne z poziomu BIOS na potrzeby inwentaryzacji:</w:t>
            </w:r>
          </w:p>
          <w:p w14:paraId="31F38461" w14:textId="55FA04B8" w:rsidR="00D906AC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wersj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BIOS, nr seryjny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 data produkcji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komputera,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pamięć RAM (taktowanie, wielkość, obsadzenie kości w slotach, procesor (nazwa, typowa prędkość,</w:t>
            </w:r>
            <w:r w:rsidR="00BC112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cache L2 i L3)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,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pojemności zainstalowanego lub zainstalowanych dysków twardych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MAC adres zintegrowanej karty sieciowej,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z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integrowany układ graficzny,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kontroler audio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Informacje dostępne w samym menu BIOS bez stosowania dodatkowego oprogramowania jak i wbudowanego systemu diagnostycznego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662A5A99" w14:textId="77777777" w:rsidR="00B46C05" w:rsidRPr="008C7C9A" w:rsidRDefault="00B46C0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Możliwość, ustawienia hasła na poziomie:</w:t>
            </w:r>
          </w:p>
          <w:p w14:paraId="01E285DD" w14:textId="5FF93B45" w:rsidR="00B46C05" w:rsidRPr="008C7C9A" w:rsidRDefault="00B46C0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- 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administratora [hasło nadrzędne]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umożliwiające logowanie do BIOS, dokonywanie zmian, rozruch komputera,</w:t>
            </w:r>
          </w:p>
          <w:p w14:paraId="6A362070" w14:textId="6942811D" w:rsidR="00B46C05" w:rsidRPr="008C7C9A" w:rsidRDefault="00B46C0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</w:t>
            </w:r>
            <w:r w:rsidR="00D025A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użytkownika/systemowego </w:t>
            </w:r>
          </w:p>
          <w:p w14:paraId="7D3D5BB3" w14:textId="55CC26B4" w:rsidR="0037008B" w:rsidRPr="008C7C9A" w:rsidRDefault="003700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 hasło dla dysku</w:t>
            </w:r>
          </w:p>
          <w:p w14:paraId="39874886" w14:textId="77777777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Funkcja blokowania/odblokowania BOOT-owania stacji roboczej z zewnętrznych urządzeń.</w:t>
            </w:r>
          </w:p>
          <w:p w14:paraId="0608DEC9" w14:textId="0532C177" w:rsidR="00711097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wyłączenia/włączenia karty sieciowej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kontrolera SATA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,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kontrolera audio,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głośników, kamery, mikrofonów, 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układu TPM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, 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czytnika kart multimedialnych</w:t>
            </w:r>
          </w:p>
          <w:p w14:paraId="1D578011" w14:textId="006C1CFB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włączenia/wyłączenia czujnika otwarcia obudowy</w:t>
            </w:r>
            <w:r w:rsidRPr="00D025AD">
              <w:rPr>
                <w:rFonts w:asciiTheme="minorHAnsi" w:hAnsiTheme="minorHAnsi" w:cstheme="minorHAnsi"/>
                <w:bCs/>
                <w:color w:val="0000FF"/>
                <w:sz w:val="20"/>
              </w:rPr>
              <w:t xml:space="preserve"> </w:t>
            </w:r>
          </w:p>
          <w:p w14:paraId="40D8C4BF" w14:textId="1865B3E3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przypisania w BIOS numeru nadawanego przez Administratora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oraz możliwość weryfikacji tego numeru w oprogramowaniu diagnostyczno-zarządzającym.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usi umożliwiać znaki specjalne 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# $ % &amp; ' ( ) * + , - . / : ; &lt; = &gt; ? @ [ \ ] ^ _ ` { | }</w:t>
            </w:r>
          </w:p>
          <w:p w14:paraId="50CE728F" w14:textId="77777777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14:paraId="1B0DBFA7" w14:textId="0E8FC544" w:rsidR="0006748B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Możliwość wyłączania portów USB 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grupami oraz 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szczególności pojedynczo w dowolnej kombinacj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797E2C20" w14:textId="77777777" w:rsidR="00D906AC" w:rsidRPr="008C7C9A" w:rsidRDefault="00D906AC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BIOS musi nanosić automatycznie wszystkie zmiany konfiguracji dotyczące w szczególności: pamięci, procesora, dysku.</w:t>
            </w:r>
          </w:p>
        </w:tc>
      </w:tr>
      <w:tr w:rsidR="008C7C9A" w:rsidRPr="008C7C9A" w14:paraId="299372D8" w14:textId="77777777" w:rsidTr="00784223">
        <w:trPr>
          <w:cantSplit/>
          <w:trHeight w:val="284"/>
        </w:trPr>
        <w:tc>
          <w:tcPr>
            <w:tcW w:w="832" w:type="pct"/>
          </w:tcPr>
          <w:p w14:paraId="73FB7A34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Certyfikaty i standardy</w:t>
            </w:r>
          </w:p>
        </w:tc>
        <w:tc>
          <w:tcPr>
            <w:tcW w:w="4168" w:type="pct"/>
          </w:tcPr>
          <w:p w14:paraId="118C1DB2" w14:textId="728AD9D1" w:rsidR="00711097" w:rsidRPr="00576040" w:rsidRDefault="00711097" w:rsidP="0078422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Certyfikat ISO</w:t>
            </w:r>
            <w:r w:rsidR="0069225F"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 </w:t>
            </w:r>
            <w:r w:rsidR="006471F1"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9001</w:t>
            </w:r>
            <w:r w:rsidR="006471F1"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dla</w:t>
            </w:r>
            <w:r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producenta sprzętu (załączyć </w:t>
            </w:r>
            <w:r w:rsidR="006471F1"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do oferty</w:t>
            </w:r>
            <w:r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)</w:t>
            </w:r>
          </w:p>
          <w:p w14:paraId="2D704BB7" w14:textId="11324EFE" w:rsidR="00711097" w:rsidRPr="008C7C9A" w:rsidRDefault="00E35464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Musi posiadać deklaracje 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zgodności CE </w:t>
            </w:r>
          </w:p>
          <w:p w14:paraId="48157895" w14:textId="0C57548D" w:rsidR="00711097" w:rsidRPr="008C7C9A" w:rsidRDefault="00711097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Potwierdzenie spełnienia kryteriów środowiskowych, w tym zgodności z dyrektywą RoHS Unii Europejskiej o eliminacji substancji niebezpiecznych w postaci </w:t>
            </w:r>
            <w:r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oświadczenia </w:t>
            </w:r>
            <w:r w:rsidR="007C5A32"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Wykonawcy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normą ISO 1043-4 dla płyty głównej oraz elementów wykonanych z tworzyw sztucznych o masie powyżej 25 gram</w:t>
            </w:r>
          </w:p>
          <w:p w14:paraId="7ABFC271" w14:textId="3588758D" w:rsidR="001A344B" w:rsidRPr="008C7C9A" w:rsidRDefault="00776689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3772D6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>Certyfikat</w:t>
            </w:r>
            <w:r w:rsidR="00C53184" w:rsidRPr="003772D6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 xml:space="preserve"> co najmniej</w:t>
            </w:r>
            <w:r w:rsidRPr="003772D6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 xml:space="preserve"> </w:t>
            </w:r>
            <w:r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EPEAT </w:t>
            </w:r>
            <w:r w:rsidR="00C53184"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Silver</w:t>
            </w:r>
            <w:r w:rsidR="00C5318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bookmarkStart w:id="0" w:name="_Hlk147138025"/>
            <w:r w:rsidR="005203D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dla Polski</w:t>
            </w:r>
            <w:r w:rsidR="000C036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5203D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ze strony </w:t>
            </w:r>
            <w:hyperlink r:id="rId9" w:history="1">
              <w:r w:rsidR="0064559A" w:rsidRPr="008C7C9A">
                <w:rPr>
                  <w:rStyle w:val="Hipercze"/>
                  <w:rFonts w:asciiTheme="minorHAnsi" w:hAnsiTheme="minorHAnsi" w:cstheme="minorHAnsi"/>
                  <w:bCs/>
                  <w:color w:val="000000" w:themeColor="text1"/>
                  <w:sz w:val="20"/>
                </w:rPr>
                <w:t>https://epeat.net/</w:t>
              </w:r>
            </w:hyperlink>
            <w:r w:rsidR="0064559A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161E1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lub </w:t>
            </w:r>
            <w:r w:rsidR="00161E10"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TCO</w:t>
            </w:r>
            <w:r w:rsidR="00021D9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="00021D9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– </w:t>
            </w:r>
            <w:bookmarkEnd w:id="0"/>
            <w:r w:rsidR="0005223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Wykonawca złoży dokument potwierdzający spełnianie wymogu.</w:t>
            </w:r>
          </w:p>
        </w:tc>
      </w:tr>
      <w:tr w:rsidR="008C7C9A" w:rsidRPr="008C7C9A" w14:paraId="11864B96" w14:textId="77777777" w:rsidTr="00784223">
        <w:trPr>
          <w:cantSplit/>
        </w:trPr>
        <w:tc>
          <w:tcPr>
            <w:tcW w:w="832" w:type="pct"/>
          </w:tcPr>
          <w:p w14:paraId="4CEE150D" w14:textId="5C716DFC" w:rsidR="0006748B" w:rsidRPr="008C7C9A" w:rsidRDefault="00436348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Wymagania dodatkowe</w:t>
            </w:r>
          </w:p>
        </w:tc>
        <w:tc>
          <w:tcPr>
            <w:tcW w:w="4168" w:type="pct"/>
          </w:tcPr>
          <w:p w14:paraId="64AA6159" w14:textId="6628C10F" w:rsidR="008845D9" w:rsidRPr="008C7C9A" w:rsidRDefault="000674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Wbudowane porty: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172A9319" w14:textId="5D1C50D6" w:rsidR="0059689E" w:rsidRDefault="00513619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2</w:t>
            </w:r>
            <w:r w:rsidR="0059689E" w:rsidRPr="0028509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x USB</w:t>
            </w:r>
          </w:p>
          <w:p w14:paraId="746CEA71" w14:textId="6B985869" w:rsidR="00053CB1" w:rsidRPr="00A75A86" w:rsidRDefault="00BC1129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1</w:t>
            </w:r>
            <w:r w:rsidR="00053CB1" w:rsidRPr="00A75A86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x USB-C</w:t>
            </w:r>
          </w:p>
          <w:p w14:paraId="675A4B43" w14:textId="1B7A1D88" w:rsidR="00BE0DD4" w:rsidRPr="008C7C9A" w:rsidRDefault="00053CB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>1x</w:t>
            </w:r>
            <w:r w:rsidR="002C6EED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 xml:space="preserve"> HDMI</w:t>
            </w:r>
          </w:p>
          <w:p w14:paraId="2F522D2B" w14:textId="7B12EC15" w:rsidR="00DA5132" w:rsidRPr="008C7C9A" w:rsidRDefault="00DA5132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>1x RJ45 Ethernet port</w:t>
            </w:r>
          </w:p>
          <w:p w14:paraId="13601107" w14:textId="30A27784" w:rsidR="00633C7F" w:rsidRPr="008C7C9A" w:rsidRDefault="00633C7F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Karta sieciowa WiFi z Bluetooth  </w:t>
            </w:r>
          </w:p>
          <w:p w14:paraId="688355FA" w14:textId="7AB01DAE" w:rsidR="0006748B" w:rsidRPr="0045510C" w:rsidRDefault="0006748B" w:rsidP="003566D4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FC4E7F">
              <w:rPr>
                <w:rFonts w:asciiTheme="minorHAnsi" w:hAnsiTheme="minorHAnsi" w:cstheme="minorHAnsi"/>
                <w:bCs/>
                <w:sz w:val="20"/>
              </w:rPr>
              <w:t xml:space="preserve">Płyta główna zaprojektowana i wyprodukowana na zlecenie producenta komputera, </w:t>
            </w:r>
            <w:r w:rsidR="00436348" w:rsidRPr="00FC4E7F">
              <w:rPr>
                <w:rFonts w:asciiTheme="minorHAnsi" w:hAnsiTheme="minorHAnsi" w:cstheme="minorHAnsi"/>
                <w:bCs/>
                <w:sz w:val="20"/>
              </w:rPr>
              <w:t>dedykowana</w:t>
            </w:r>
            <w:r w:rsidRPr="00FC4E7F">
              <w:rPr>
                <w:rFonts w:asciiTheme="minorHAnsi" w:hAnsiTheme="minorHAnsi" w:cstheme="minorHAnsi"/>
                <w:bCs/>
                <w:sz w:val="20"/>
              </w:rPr>
              <w:t xml:space="preserve"> dla da</w:t>
            </w:r>
            <w:r w:rsidR="003566D4">
              <w:rPr>
                <w:rFonts w:asciiTheme="minorHAnsi" w:hAnsiTheme="minorHAnsi" w:cstheme="minorHAnsi"/>
                <w:bCs/>
                <w:sz w:val="20"/>
              </w:rPr>
              <w:t>nego urządzenia;</w:t>
            </w:r>
            <w:r w:rsidR="002238DF" w:rsidRPr="00FC4E7F">
              <w:rPr>
                <w:rFonts w:asciiTheme="minorHAnsi" w:hAnsiTheme="minorHAnsi" w:cstheme="minorHAnsi"/>
                <w:bCs/>
                <w:sz w:val="20"/>
              </w:rPr>
              <w:t xml:space="preserve"> karty WiFi</w:t>
            </w:r>
            <w:r w:rsidR="00344DBB" w:rsidRPr="00FC4E7F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3566D4">
              <w:rPr>
                <w:rFonts w:asciiTheme="minorHAnsi" w:hAnsiTheme="minorHAnsi" w:cstheme="minorHAnsi"/>
                <w:bCs/>
                <w:sz w:val="20"/>
              </w:rPr>
              <w:t>m</w:t>
            </w:r>
            <w:r w:rsidRPr="0045510C">
              <w:rPr>
                <w:rFonts w:asciiTheme="minorHAnsi" w:hAnsiTheme="minorHAnsi" w:cstheme="minorHAnsi"/>
                <w:bCs/>
                <w:sz w:val="20"/>
              </w:rPr>
              <w:t>ysz</w:t>
            </w:r>
            <w:r w:rsidR="0045510C" w:rsidRPr="0045510C">
              <w:rPr>
                <w:rFonts w:asciiTheme="minorHAnsi" w:hAnsiTheme="minorHAnsi" w:cstheme="minorHAnsi"/>
                <w:bCs/>
                <w:sz w:val="20"/>
              </w:rPr>
              <w:t xml:space="preserve"> bezprzewodowa</w:t>
            </w:r>
            <w:r w:rsidR="00BD711F" w:rsidRPr="0045510C">
              <w:rPr>
                <w:rFonts w:asciiTheme="minorHAnsi" w:hAnsiTheme="minorHAnsi" w:cstheme="minorHAnsi"/>
                <w:bCs/>
                <w:sz w:val="20"/>
              </w:rPr>
              <w:t xml:space="preserve"> optyczna</w:t>
            </w:r>
            <w:r w:rsidRPr="0045510C">
              <w:rPr>
                <w:rFonts w:asciiTheme="minorHAnsi" w:hAnsiTheme="minorHAnsi" w:cstheme="minorHAnsi"/>
                <w:bCs/>
                <w:sz w:val="20"/>
              </w:rPr>
              <w:t xml:space="preserve"> z </w:t>
            </w:r>
            <w:r w:rsidR="00BD711F" w:rsidRPr="0045510C">
              <w:rPr>
                <w:rFonts w:asciiTheme="minorHAnsi" w:hAnsiTheme="minorHAnsi" w:cstheme="minorHAnsi"/>
                <w:bCs/>
                <w:sz w:val="20"/>
              </w:rPr>
              <w:t>dwoma</w:t>
            </w:r>
            <w:r w:rsidRPr="0045510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436348" w:rsidRPr="0045510C">
              <w:rPr>
                <w:rFonts w:asciiTheme="minorHAnsi" w:hAnsiTheme="minorHAnsi" w:cstheme="minorHAnsi"/>
                <w:bCs/>
                <w:sz w:val="20"/>
              </w:rPr>
              <w:t xml:space="preserve">przyciskami </w:t>
            </w:r>
            <w:r w:rsidRPr="0045510C">
              <w:rPr>
                <w:rFonts w:asciiTheme="minorHAnsi" w:hAnsiTheme="minorHAnsi" w:cstheme="minorHAnsi"/>
                <w:bCs/>
                <w:sz w:val="20"/>
              </w:rPr>
              <w:t>oraz rolką (scroll)</w:t>
            </w:r>
            <w:r w:rsidR="00C103FD" w:rsidRPr="0045510C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</w:tr>
      <w:tr w:rsidR="008C7C9A" w:rsidRPr="008C7C9A" w14:paraId="39E59674" w14:textId="77777777" w:rsidTr="00784223">
        <w:trPr>
          <w:cantSplit/>
        </w:trPr>
        <w:tc>
          <w:tcPr>
            <w:tcW w:w="832" w:type="pct"/>
          </w:tcPr>
          <w:p w14:paraId="0A6C5883" w14:textId="77777777" w:rsidR="00AB2C24" w:rsidRPr="008C7C9A" w:rsidRDefault="00AB2C24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Warunki gwarancji</w:t>
            </w:r>
          </w:p>
          <w:p w14:paraId="798C3FA6" w14:textId="77777777" w:rsidR="00AB2C24" w:rsidRPr="008C7C9A" w:rsidRDefault="00AB2C24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Wsparcie techniczne</w:t>
            </w:r>
          </w:p>
        </w:tc>
        <w:tc>
          <w:tcPr>
            <w:tcW w:w="4168" w:type="pct"/>
          </w:tcPr>
          <w:p w14:paraId="1CA4F1FA" w14:textId="5D53B399" w:rsidR="00854F92" w:rsidRPr="008C7C9A" w:rsidRDefault="00021D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Minimum </w:t>
            </w:r>
            <w:r w:rsidR="000319E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2</w:t>
            </w:r>
            <w:r w:rsidR="00854F92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-letnia gwarancja producenta świadczona na miejscu u klienta</w:t>
            </w:r>
            <w:r w:rsidR="00C103F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7EE3BD36" w14:textId="6F1DCBDF" w:rsidR="00854F92" w:rsidRPr="008C7C9A" w:rsidRDefault="00854F92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Czas reakcji serwisu - do końca następnego dnia roboczego</w:t>
            </w:r>
            <w:r w:rsidR="00C103F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01DEC612" w14:textId="7D8244D1" w:rsidR="00854F92" w:rsidRPr="008C7C9A" w:rsidRDefault="00854F92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lastRenderedPageBreak/>
              <w:t xml:space="preserve">Firma serwisująca musi posiadać autoryzacje producenta komputera – </w:t>
            </w:r>
            <w:r w:rsidRPr="003772D6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dokumenty potwierdzające załączyć do oferty</w:t>
            </w:r>
            <w:r w:rsidR="003C2C67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 (oświadczenie własne Wykonawcy)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05641F92" w14:textId="59186ADE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Minimalny czas trwania wsparcia technicznego producenta wynosi </w:t>
            </w:r>
            <w:r w:rsidR="00E35464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2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lata, z możliwością odpłatnego  przedłużenia tego okresu do 4 lub 5 lat od daty dostawy.</w:t>
            </w:r>
          </w:p>
          <w:p w14:paraId="6D1BC874" w14:textId="77777777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Sposób realizacji usług wsparcia technicznego:</w:t>
            </w:r>
          </w:p>
          <w:p w14:paraId="5DE5EE9E" w14:textId="77777777" w:rsidR="008C7C9A" w:rsidRPr="008C7C9A" w:rsidRDefault="008C7C9A" w:rsidP="00784223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Telefoniczne zgłaszanie usterek w trybie 24h / dobę, 7 dni w tygodniu (w języku polskim w dni robocze w godz. 8-17).</w:t>
            </w:r>
          </w:p>
          <w:p w14:paraId="59001391" w14:textId="77777777" w:rsidR="008C7C9A" w:rsidRPr="008C7C9A" w:rsidRDefault="008C7C9A" w:rsidP="00784223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Dostęp do bezpłatnego portalu technicznego producenta, który umożliwi zamawianie części zamiennych i/lub wizyt technika serwisowego, mający na celu przyśpieszenie procesu diagnostyki i skrócenia czasu usunięcia usterki.</w:t>
            </w:r>
          </w:p>
          <w:p w14:paraId="72FB784A" w14:textId="77777777" w:rsidR="008C7C9A" w:rsidRPr="008C7C9A" w:rsidRDefault="008C7C9A" w:rsidP="0078422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Opcjonalna pomoc techniczna za pośrednictwem czat online.</w:t>
            </w:r>
          </w:p>
          <w:p w14:paraId="3442AE30" w14:textId="77777777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Wsparcie techniczne świadczone przez pracowników producenta urządzeń dla sprzętu i wybranego oprogramowania OEM, zakupionego z urządzeniem, dostarczane zdalnie lub w miejscu instalacji urządzenia, w zależności od rodzaju zgłaszanej awarii. </w:t>
            </w:r>
          </w:p>
          <w:p w14:paraId="7D21324A" w14:textId="215D9933" w:rsid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przypadku awarii zakwalifikowanej jako naprawa w miejscu instalacji urządzenia, część zamienna wymagana do naprawy i/lub technik serwisowy przybędzie na miejsce wskazane przez klienta na następny dzie</w:t>
            </w:r>
            <w:r w:rsidR="00F92C5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ń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roboczy od momentu skutecznego przyjęcia zgłoszenia przez Dział Wsparcia Technicznego.</w:t>
            </w:r>
          </w:p>
          <w:p w14:paraId="01A8FDAC" w14:textId="6E075EB1" w:rsidR="00727591" w:rsidRPr="003772D6" w:rsidRDefault="007275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</w:pPr>
            <w:r w:rsidRPr="00727591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Zamawiający wymaga od podmiotu realizującego serwis lub producenta sprzętu </w:t>
            </w:r>
            <w:r w:rsidRPr="003772D6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>dołączenia do oferty oświadczenia, że w przypadku wystąpienia awarii dysku twardego w urządzeniu objętym aktywnym wparciem technicznym, uszkodzony dysk twardy pozostaje u Zamawiającego</w:t>
            </w:r>
          </w:p>
          <w:p w14:paraId="7D932C54" w14:textId="77777777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sprawdzenia aktualnego okresu i poziomu wsparcia technicznego dla urządzeń za pośrednictwem strony internetowej producenta.</w:t>
            </w:r>
          </w:p>
          <w:p w14:paraId="12187EA4" w14:textId="6DE403A4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</w:t>
            </w:r>
            <w:r w:rsidR="00F92C5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ż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liwość pobrania aktualnych wersji sterowników oraz firmware urządzenia za pośrednictwem strony internetowej producenta również dla urządzeń z nieaktywnym wsparciem technicznym.</w:t>
            </w:r>
          </w:p>
          <w:p w14:paraId="3C3E378B" w14:textId="6D43967D" w:rsidR="00AB2C24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Przydzielenie zasobu w postaci kierownika technicznego w przypadku eskalacji problemów serwisowych.</w:t>
            </w:r>
          </w:p>
        </w:tc>
      </w:tr>
    </w:tbl>
    <w:p w14:paraId="2B6126EC" w14:textId="77777777" w:rsidR="00E442E1" w:rsidRDefault="00E442E1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506F0B78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634B6BD2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0A9E4D5C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42F7BA7E" w14:textId="77777777" w:rsidR="00727591" w:rsidRDefault="00727591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0868809B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0A7FE5E3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56B50CAE" w14:textId="77777777" w:rsidR="0017192D" w:rsidRDefault="0017192D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8D371B7" w14:textId="77777777" w:rsidR="00713DC3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2BE33B3" w14:textId="77777777" w:rsidR="00713DC3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5D23909" w14:textId="77777777" w:rsidR="00713DC3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CE2F465" w14:textId="77777777" w:rsidR="00713DC3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9C6B6A3" w14:textId="77777777" w:rsidR="00713DC3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7594CEE" w14:textId="77777777" w:rsidR="00713DC3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1810A13" w14:textId="77777777" w:rsidR="00713DC3" w:rsidRPr="0017192D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713DC3" w:rsidRPr="0017192D" w:rsidSect="007D08AA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5373" w14:textId="77777777" w:rsidR="00930383" w:rsidRDefault="00930383" w:rsidP="00C634E5">
      <w:r>
        <w:separator/>
      </w:r>
    </w:p>
  </w:endnote>
  <w:endnote w:type="continuationSeparator" w:id="0">
    <w:p w14:paraId="2E679E46" w14:textId="77777777" w:rsidR="00930383" w:rsidRDefault="00930383" w:rsidP="00C6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ll Repl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74AB" w14:textId="77777777" w:rsidR="00930383" w:rsidRDefault="00930383" w:rsidP="00C634E5">
      <w:r>
        <w:separator/>
      </w:r>
    </w:p>
  </w:footnote>
  <w:footnote w:type="continuationSeparator" w:id="0">
    <w:p w14:paraId="7933EE01" w14:textId="77777777" w:rsidR="00930383" w:rsidRDefault="00930383" w:rsidP="00C6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6A8B" w14:textId="42C86EC4" w:rsidR="00E35464" w:rsidRPr="00E35464" w:rsidRDefault="00E35464" w:rsidP="00E35464">
    <w:pPr>
      <w:pStyle w:val="Nagwek"/>
      <w:jc w:val="right"/>
      <w:rPr>
        <w:rFonts w:asciiTheme="minorHAnsi" w:hAnsiTheme="minorHAnsi" w:cstheme="minorHAnsi"/>
        <w:b/>
        <w:bCs/>
      </w:rPr>
    </w:pPr>
    <w:r w:rsidRPr="00E35464">
      <w:rPr>
        <w:rFonts w:asciiTheme="minorHAnsi" w:hAnsiTheme="minorHAnsi" w:cstheme="minorHAnsi"/>
        <w:b/>
        <w:bCs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02BA"/>
    <w:multiLevelType w:val="hybridMultilevel"/>
    <w:tmpl w:val="A99E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792B"/>
    <w:multiLevelType w:val="hybridMultilevel"/>
    <w:tmpl w:val="859E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18D3"/>
    <w:multiLevelType w:val="hybridMultilevel"/>
    <w:tmpl w:val="D142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7F4"/>
    <w:multiLevelType w:val="hybridMultilevel"/>
    <w:tmpl w:val="1E5639F8"/>
    <w:lvl w:ilvl="0" w:tplc="D15C63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652ABE"/>
    <w:multiLevelType w:val="hybridMultilevel"/>
    <w:tmpl w:val="AA90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B5232"/>
    <w:multiLevelType w:val="hybridMultilevel"/>
    <w:tmpl w:val="3B76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2B4F"/>
    <w:multiLevelType w:val="hybridMultilevel"/>
    <w:tmpl w:val="827E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4F0A"/>
    <w:multiLevelType w:val="hybridMultilevel"/>
    <w:tmpl w:val="FB72D5AC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ECC"/>
    <w:multiLevelType w:val="hybridMultilevel"/>
    <w:tmpl w:val="3814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E74F2"/>
    <w:multiLevelType w:val="hybridMultilevel"/>
    <w:tmpl w:val="59661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C2A10"/>
    <w:multiLevelType w:val="multilevel"/>
    <w:tmpl w:val="D538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B72EC"/>
    <w:multiLevelType w:val="hybridMultilevel"/>
    <w:tmpl w:val="EA02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9635885">
    <w:abstractNumId w:val="2"/>
  </w:num>
  <w:num w:numId="2" w16cid:durableId="1948612612">
    <w:abstractNumId w:val="6"/>
  </w:num>
  <w:num w:numId="3" w16cid:durableId="1434087134">
    <w:abstractNumId w:val="16"/>
  </w:num>
  <w:num w:numId="4" w16cid:durableId="1019812155">
    <w:abstractNumId w:val="0"/>
  </w:num>
  <w:num w:numId="5" w16cid:durableId="1485319231">
    <w:abstractNumId w:val="20"/>
  </w:num>
  <w:num w:numId="6" w16cid:durableId="1346713344">
    <w:abstractNumId w:val="12"/>
  </w:num>
  <w:num w:numId="7" w16cid:durableId="2055890173">
    <w:abstractNumId w:val="13"/>
  </w:num>
  <w:num w:numId="8" w16cid:durableId="117113117">
    <w:abstractNumId w:val="5"/>
  </w:num>
  <w:num w:numId="9" w16cid:durableId="1607493963">
    <w:abstractNumId w:val="14"/>
  </w:num>
  <w:num w:numId="10" w16cid:durableId="1793210426">
    <w:abstractNumId w:val="10"/>
  </w:num>
  <w:num w:numId="11" w16cid:durableId="1339380296">
    <w:abstractNumId w:val="18"/>
  </w:num>
  <w:num w:numId="12" w16cid:durableId="719012229">
    <w:abstractNumId w:val="7"/>
  </w:num>
  <w:num w:numId="13" w16cid:durableId="2035688213">
    <w:abstractNumId w:val="11"/>
  </w:num>
  <w:num w:numId="14" w16cid:durableId="1168403314">
    <w:abstractNumId w:val="19"/>
  </w:num>
  <w:num w:numId="15" w16cid:durableId="1571385758">
    <w:abstractNumId w:val="3"/>
  </w:num>
  <w:num w:numId="16" w16cid:durableId="758601611">
    <w:abstractNumId w:val="15"/>
  </w:num>
  <w:num w:numId="17" w16cid:durableId="372123269">
    <w:abstractNumId w:val="8"/>
  </w:num>
  <w:num w:numId="18" w16cid:durableId="1374964975">
    <w:abstractNumId w:val="9"/>
  </w:num>
  <w:num w:numId="19" w16cid:durableId="1883445245">
    <w:abstractNumId w:val="4"/>
  </w:num>
  <w:num w:numId="20" w16cid:durableId="567610924">
    <w:abstractNumId w:val="1"/>
  </w:num>
  <w:num w:numId="21" w16cid:durableId="1002282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8B"/>
    <w:rsid w:val="0000112A"/>
    <w:rsid w:val="000132DE"/>
    <w:rsid w:val="00021D91"/>
    <w:rsid w:val="00026808"/>
    <w:rsid w:val="000319E0"/>
    <w:rsid w:val="00034E94"/>
    <w:rsid w:val="000433BE"/>
    <w:rsid w:val="00052236"/>
    <w:rsid w:val="00053CB1"/>
    <w:rsid w:val="00060E14"/>
    <w:rsid w:val="0006748B"/>
    <w:rsid w:val="00082928"/>
    <w:rsid w:val="00087E20"/>
    <w:rsid w:val="000A773E"/>
    <w:rsid w:val="000C0365"/>
    <w:rsid w:val="000D0862"/>
    <w:rsid w:val="000E7AAA"/>
    <w:rsid w:val="000F6FD8"/>
    <w:rsid w:val="000F7431"/>
    <w:rsid w:val="0010570F"/>
    <w:rsid w:val="00125403"/>
    <w:rsid w:val="00126662"/>
    <w:rsid w:val="00131780"/>
    <w:rsid w:val="00135DF3"/>
    <w:rsid w:val="001373F1"/>
    <w:rsid w:val="00141232"/>
    <w:rsid w:val="001426D7"/>
    <w:rsid w:val="00153E65"/>
    <w:rsid w:val="00161E10"/>
    <w:rsid w:val="00163EEA"/>
    <w:rsid w:val="0017192D"/>
    <w:rsid w:val="001A344B"/>
    <w:rsid w:val="001A5902"/>
    <w:rsid w:val="001B3033"/>
    <w:rsid w:val="001B7CB9"/>
    <w:rsid w:val="001D19AC"/>
    <w:rsid w:val="001E6A97"/>
    <w:rsid w:val="00206109"/>
    <w:rsid w:val="002132C7"/>
    <w:rsid w:val="00214C26"/>
    <w:rsid w:val="002238DF"/>
    <w:rsid w:val="002248EC"/>
    <w:rsid w:val="00241D29"/>
    <w:rsid w:val="00243EAB"/>
    <w:rsid w:val="002445BE"/>
    <w:rsid w:val="0024528D"/>
    <w:rsid w:val="00247787"/>
    <w:rsid w:val="002511E5"/>
    <w:rsid w:val="0025319E"/>
    <w:rsid w:val="00254B0D"/>
    <w:rsid w:val="002556FA"/>
    <w:rsid w:val="00285099"/>
    <w:rsid w:val="00293B5B"/>
    <w:rsid w:val="00294FFC"/>
    <w:rsid w:val="002A0726"/>
    <w:rsid w:val="002C6EED"/>
    <w:rsid w:val="002E77B0"/>
    <w:rsid w:val="002F04F9"/>
    <w:rsid w:val="00302793"/>
    <w:rsid w:val="00302DEA"/>
    <w:rsid w:val="00311E7F"/>
    <w:rsid w:val="003127F4"/>
    <w:rsid w:val="00324DB1"/>
    <w:rsid w:val="0034163D"/>
    <w:rsid w:val="003423AA"/>
    <w:rsid w:val="00344DBB"/>
    <w:rsid w:val="0034536C"/>
    <w:rsid w:val="0035420D"/>
    <w:rsid w:val="00354C1E"/>
    <w:rsid w:val="003566D4"/>
    <w:rsid w:val="00364026"/>
    <w:rsid w:val="00364D8B"/>
    <w:rsid w:val="0037008B"/>
    <w:rsid w:val="00370BE1"/>
    <w:rsid w:val="0037608C"/>
    <w:rsid w:val="00376A6D"/>
    <w:rsid w:val="003772D6"/>
    <w:rsid w:val="00382AE5"/>
    <w:rsid w:val="003853BF"/>
    <w:rsid w:val="003B0026"/>
    <w:rsid w:val="003B24F7"/>
    <w:rsid w:val="003C2C67"/>
    <w:rsid w:val="003D6904"/>
    <w:rsid w:val="00413470"/>
    <w:rsid w:val="00414B66"/>
    <w:rsid w:val="00423369"/>
    <w:rsid w:val="00425A30"/>
    <w:rsid w:val="0043490B"/>
    <w:rsid w:val="00435E67"/>
    <w:rsid w:val="00436348"/>
    <w:rsid w:val="00443864"/>
    <w:rsid w:val="0045510C"/>
    <w:rsid w:val="00455354"/>
    <w:rsid w:val="004635CF"/>
    <w:rsid w:val="0047491A"/>
    <w:rsid w:val="004777C5"/>
    <w:rsid w:val="004807B4"/>
    <w:rsid w:val="00493DB9"/>
    <w:rsid w:val="00495A09"/>
    <w:rsid w:val="004B0928"/>
    <w:rsid w:val="004B68BF"/>
    <w:rsid w:val="004C05F2"/>
    <w:rsid w:val="004C0F5B"/>
    <w:rsid w:val="004C4982"/>
    <w:rsid w:val="004C6328"/>
    <w:rsid w:val="004F6371"/>
    <w:rsid w:val="0050302A"/>
    <w:rsid w:val="00513619"/>
    <w:rsid w:val="005203D7"/>
    <w:rsid w:val="00532A59"/>
    <w:rsid w:val="00541A0E"/>
    <w:rsid w:val="00544563"/>
    <w:rsid w:val="00545335"/>
    <w:rsid w:val="00553A6E"/>
    <w:rsid w:val="00557CB0"/>
    <w:rsid w:val="005667BF"/>
    <w:rsid w:val="005677F9"/>
    <w:rsid w:val="0057000B"/>
    <w:rsid w:val="00572634"/>
    <w:rsid w:val="00576040"/>
    <w:rsid w:val="00581A0C"/>
    <w:rsid w:val="005870EB"/>
    <w:rsid w:val="00595CD0"/>
    <w:rsid w:val="0059689E"/>
    <w:rsid w:val="005A139B"/>
    <w:rsid w:val="005B410E"/>
    <w:rsid w:val="005B759F"/>
    <w:rsid w:val="005D2AAF"/>
    <w:rsid w:val="005E76F3"/>
    <w:rsid w:val="005F2A76"/>
    <w:rsid w:val="00600A4C"/>
    <w:rsid w:val="00601242"/>
    <w:rsid w:val="00633C7F"/>
    <w:rsid w:val="00636EBD"/>
    <w:rsid w:val="0064559A"/>
    <w:rsid w:val="006471F1"/>
    <w:rsid w:val="00650470"/>
    <w:rsid w:val="00662C63"/>
    <w:rsid w:val="006753AA"/>
    <w:rsid w:val="006849C0"/>
    <w:rsid w:val="00685BA5"/>
    <w:rsid w:val="006875DA"/>
    <w:rsid w:val="0069225F"/>
    <w:rsid w:val="006A40B2"/>
    <w:rsid w:val="006B2D8E"/>
    <w:rsid w:val="006C1E80"/>
    <w:rsid w:val="006C666D"/>
    <w:rsid w:val="006E0AC7"/>
    <w:rsid w:val="006F0A07"/>
    <w:rsid w:val="006F3150"/>
    <w:rsid w:val="00701E18"/>
    <w:rsid w:val="00703B90"/>
    <w:rsid w:val="00711097"/>
    <w:rsid w:val="00713DC3"/>
    <w:rsid w:val="007160AC"/>
    <w:rsid w:val="00727591"/>
    <w:rsid w:val="007313FB"/>
    <w:rsid w:val="00732652"/>
    <w:rsid w:val="007356A3"/>
    <w:rsid w:val="0073606B"/>
    <w:rsid w:val="00736BAB"/>
    <w:rsid w:val="00737CF6"/>
    <w:rsid w:val="00740674"/>
    <w:rsid w:val="00754692"/>
    <w:rsid w:val="00754FE8"/>
    <w:rsid w:val="00766A38"/>
    <w:rsid w:val="00766B2B"/>
    <w:rsid w:val="007719AC"/>
    <w:rsid w:val="007756E4"/>
    <w:rsid w:val="00776689"/>
    <w:rsid w:val="00782E6D"/>
    <w:rsid w:val="00784223"/>
    <w:rsid w:val="007843BC"/>
    <w:rsid w:val="007B08EB"/>
    <w:rsid w:val="007C06AF"/>
    <w:rsid w:val="007C5A32"/>
    <w:rsid w:val="007D08AA"/>
    <w:rsid w:val="008031A7"/>
    <w:rsid w:val="00813391"/>
    <w:rsid w:val="008152B8"/>
    <w:rsid w:val="00830F87"/>
    <w:rsid w:val="00832C00"/>
    <w:rsid w:val="0083618C"/>
    <w:rsid w:val="00847994"/>
    <w:rsid w:val="00854F92"/>
    <w:rsid w:val="008559B5"/>
    <w:rsid w:val="00860BB7"/>
    <w:rsid w:val="008845D9"/>
    <w:rsid w:val="00887072"/>
    <w:rsid w:val="00894D68"/>
    <w:rsid w:val="008A2CB8"/>
    <w:rsid w:val="008C7C9A"/>
    <w:rsid w:val="008E75EF"/>
    <w:rsid w:val="008F19F7"/>
    <w:rsid w:val="008F367E"/>
    <w:rsid w:val="008F5DD3"/>
    <w:rsid w:val="009077F8"/>
    <w:rsid w:val="00930383"/>
    <w:rsid w:val="009358FA"/>
    <w:rsid w:val="009646FC"/>
    <w:rsid w:val="0096575F"/>
    <w:rsid w:val="00965CEA"/>
    <w:rsid w:val="00966016"/>
    <w:rsid w:val="00982E32"/>
    <w:rsid w:val="009B59D1"/>
    <w:rsid w:val="009D0136"/>
    <w:rsid w:val="009D3CA8"/>
    <w:rsid w:val="009D59CB"/>
    <w:rsid w:val="009D59DB"/>
    <w:rsid w:val="009D7B8B"/>
    <w:rsid w:val="009E4EFA"/>
    <w:rsid w:val="009E7A1B"/>
    <w:rsid w:val="00A05C98"/>
    <w:rsid w:val="00A14F7A"/>
    <w:rsid w:val="00A2277B"/>
    <w:rsid w:val="00A24291"/>
    <w:rsid w:val="00A510BF"/>
    <w:rsid w:val="00A60F48"/>
    <w:rsid w:val="00A66249"/>
    <w:rsid w:val="00A75A86"/>
    <w:rsid w:val="00A80B6D"/>
    <w:rsid w:val="00A91DFE"/>
    <w:rsid w:val="00A936CB"/>
    <w:rsid w:val="00AA660A"/>
    <w:rsid w:val="00AB1E4F"/>
    <w:rsid w:val="00AB2C24"/>
    <w:rsid w:val="00AB509C"/>
    <w:rsid w:val="00AC4B91"/>
    <w:rsid w:val="00AD11C1"/>
    <w:rsid w:val="00AE1FF3"/>
    <w:rsid w:val="00AE7A02"/>
    <w:rsid w:val="00AF66F5"/>
    <w:rsid w:val="00B03764"/>
    <w:rsid w:val="00B072C5"/>
    <w:rsid w:val="00B12B3C"/>
    <w:rsid w:val="00B14809"/>
    <w:rsid w:val="00B17954"/>
    <w:rsid w:val="00B21C30"/>
    <w:rsid w:val="00B23294"/>
    <w:rsid w:val="00B254C5"/>
    <w:rsid w:val="00B371D2"/>
    <w:rsid w:val="00B46C05"/>
    <w:rsid w:val="00B51BC0"/>
    <w:rsid w:val="00B63A0A"/>
    <w:rsid w:val="00B668B9"/>
    <w:rsid w:val="00B700AF"/>
    <w:rsid w:val="00B81341"/>
    <w:rsid w:val="00B849B5"/>
    <w:rsid w:val="00B95360"/>
    <w:rsid w:val="00BC1129"/>
    <w:rsid w:val="00BC18AD"/>
    <w:rsid w:val="00BD0153"/>
    <w:rsid w:val="00BD3D5A"/>
    <w:rsid w:val="00BD711F"/>
    <w:rsid w:val="00BD75E1"/>
    <w:rsid w:val="00BE0DD4"/>
    <w:rsid w:val="00BE2142"/>
    <w:rsid w:val="00BE265F"/>
    <w:rsid w:val="00C066D6"/>
    <w:rsid w:val="00C103FD"/>
    <w:rsid w:val="00C103FF"/>
    <w:rsid w:val="00C16F0A"/>
    <w:rsid w:val="00C27E2D"/>
    <w:rsid w:val="00C44AD6"/>
    <w:rsid w:val="00C475EE"/>
    <w:rsid w:val="00C53184"/>
    <w:rsid w:val="00C54B4E"/>
    <w:rsid w:val="00C634E5"/>
    <w:rsid w:val="00C65043"/>
    <w:rsid w:val="00C728AB"/>
    <w:rsid w:val="00C826FE"/>
    <w:rsid w:val="00C9296E"/>
    <w:rsid w:val="00CB2BB8"/>
    <w:rsid w:val="00CD09EC"/>
    <w:rsid w:val="00CD2739"/>
    <w:rsid w:val="00CE787F"/>
    <w:rsid w:val="00CE79C8"/>
    <w:rsid w:val="00CF62F0"/>
    <w:rsid w:val="00CF772A"/>
    <w:rsid w:val="00D025AD"/>
    <w:rsid w:val="00D04EE6"/>
    <w:rsid w:val="00D120EE"/>
    <w:rsid w:val="00D2025F"/>
    <w:rsid w:val="00D32AF8"/>
    <w:rsid w:val="00D44B13"/>
    <w:rsid w:val="00D45394"/>
    <w:rsid w:val="00D5341C"/>
    <w:rsid w:val="00D54767"/>
    <w:rsid w:val="00D81240"/>
    <w:rsid w:val="00D857AC"/>
    <w:rsid w:val="00D906AC"/>
    <w:rsid w:val="00DA0ED0"/>
    <w:rsid w:val="00DA5132"/>
    <w:rsid w:val="00DB2119"/>
    <w:rsid w:val="00DD00EA"/>
    <w:rsid w:val="00DD580D"/>
    <w:rsid w:val="00DE1F4E"/>
    <w:rsid w:val="00DE3630"/>
    <w:rsid w:val="00DE3782"/>
    <w:rsid w:val="00DE56A1"/>
    <w:rsid w:val="00DE6E12"/>
    <w:rsid w:val="00DF192C"/>
    <w:rsid w:val="00DF5A28"/>
    <w:rsid w:val="00E10158"/>
    <w:rsid w:val="00E11914"/>
    <w:rsid w:val="00E12267"/>
    <w:rsid w:val="00E129EC"/>
    <w:rsid w:val="00E31D8F"/>
    <w:rsid w:val="00E337EE"/>
    <w:rsid w:val="00E35464"/>
    <w:rsid w:val="00E4289A"/>
    <w:rsid w:val="00E442E1"/>
    <w:rsid w:val="00E64BA3"/>
    <w:rsid w:val="00E73D62"/>
    <w:rsid w:val="00EA269A"/>
    <w:rsid w:val="00EB76B6"/>
    <w:rsid w:val="00EC3931"/>
    <w:rsid w:val="00ED2FB4"/>
    <w:rsid w:val="00ED4499"/>
    <w:rsid w:val="00EE70D1"/>
    <w:rsid w:val="00F01D68"/>
    <w:rsid w:val="00F241F3"/>
    <w:rsid w:val="00F4587C"/>
    <w:rsid w:val="00F66767"/>
    <w:rsid w:val="00F72387"/>
    <w:rsid w:val="00F7542D"/>
    <w:rsid w:val="00F92C5C"/>
    <w:rsid w:val="00F95D3A"/>
    <w:rsid w:val="00FB6267"/>
    <w:rsid w:val="00FC1805"/>
    <w:rsid w:val="00FC4E7F"/>
    <w:rsid w:val="00FE624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BBD49"/>
  <w15:docId w15:val="{8A5B82E8-7DB8-4C2D-9AE0-6D88178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E7F"/>
    <w:pPr>
      <w:spacing w:after="0" w:line="240" w:lineRule="auto"/>
    </w:pPr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48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6748B"/>
    <w:rPr>
      <w:rFonts w:ascii="Arial Narrow" w:eastAsia="Times New Roman" w:hAnsi="Arial Narrow" w:cs="Times New Roman"/>
      <w:szCs w:val="20"/>
      <w:lang w:val="pl-PL" w:eastAsia="pl-PL"/>
    </w:rPr>
  </w:style>
  <w:style w:type="character" w:styleId="Hipercze">
    <w:name w:val="Hyperlink"/>
    <w:uiPriority w:val="99"/>
    <w:rsid w:val="000674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A3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A38"/>
    <w:rPr>
      <w:rFonts w:ascii="Arial Narrow" w:eastAsia="Times New Roman" w:hAnsi="Arial Narrow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A38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A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34E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1795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Pa1">
    <w:name w:val="Pa1"/>
    <w:basedOn w:val="Normalny"/>
    <w:next w:val="Normalny"/>
    <w:uiPriority w:val="99"/>
    <w:rsid w:val="00CB2BB8"/>
    <w:pPr>
      <w:autoSpaceDE w:val="0"/>
      <w:autoSpaceDN w:val="0"/>
      <w:adjustRightInd w:val="0"/>
      <w:spacing w:line="241" w:lineRule="atLeast"/>
    </w:pPr>
    <w:rPr>
      <w:rFonts w:ascii="Dell Replica" w:eastAsiaTheme="minorHAnsi" w:hAnsi="Dell Replica" w:cstheme="minorBidi"/>
      <w:sz w:val="24"/>
      <w:szCs w:val="24"/>
      <w:lang w:val="en-US" w:eastAsia="en-US"/>
    </w:rPr>
  </w:style>
  <w:style w:type="character" w:customStyle="1" w:styleId="A15">
    <w:name w:val="A15"/>
    <w:uiPriority w:val="99"/>
    <w:rsid w:val="00CB2BB8"/>
    <w:rPr>
      <w:rFonts w:cs="Dell Replica"/>
      <w:color w:val="000000"/>
      <w:sz w:val="12"/>
      <w:szCs w:val="12"/>
    </w:rPr>
  </w:style>
  <w:style w:type="character" w:customStyle="1" w:styleId="A23">
    <w:name w:val="A23"/>
    <w:uiPriority w:val="99"/>
    <w:rsid w:val="00CB2BB8"/>
    <w:rPr>
      <w:rFonts w:cs="Dell Replica"/>
      <w:color w:val="000000"/>
      <w:sz w:val="7"/>
      <w:szCs w:val="7"/>
    </w:rPr>
  </w:style>
  <w:style w:type="character" w:styleId="UyteHipercze">
    <w:name w:val="FollowedHyperlink"/>
    <w:basedOn w:val="Domylnaczcionkaakapitu"/>
    <w:uiPriority w:val="99"/>
    <w:semiHidden/>
    <w:unhideWhenUsed/>
    <w:rsid w:val="001A344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7E2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E20"/>
    <w:rPr>
      <w:rFonts w:ascii="Arial Narrow" w:eastAsia="Times New Roman" w:hAnsi="Arial Narrow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087E20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E20"/>
    <w:rPr>
      <w:rFonts w:ascii="Arial Narrow" w:eastAsia="Times New Roman" w:hAnsi="Arial Narrow" w:cs="Times New Roman"/>
      <w:szCs w:val="20"/>
      <w:lang w:val="pl-PL" w:eastAsia="pl-PL"/>
    </w:rPr>
  </w:style>
  <w:style w:type="paragraph" w:customStyle="1" w:styleId="Default">
    <w:name w:val="Default"/>
    <w:rsid w:val="001719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ADB7-F55A-4303-A96A-423DD51D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1380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Bielawska</dc:creator>
  <cp:keywords/>
  <dc:description/>
  <cp:lastModifiedBy>Sylwia Bielawska</cp:lastModifiedBy>
  <cp:revision>6</cp:revision>
  <cp:lastPrinted>2024-10-22T09:20:00Z</cp:lastPrinted>
  <dcterms:created xsi:type="dcterms:W3CDTF">2025-11-19T06:45:00Z</dcterms:created>
  <dcterms:modified xsi:type="dcterms:W3CDTF">2025-11-19T12:04:00Z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cb76b2-10b8-4fe1-93d4-2202842406cd_Enabled">
    <vt:lpwstr>True</vt:lpwstr>
  </property>
  <property fmtid="{D5CDD505-2E9C-101B-9397-08002B2CF9AE}" pid="3" name="MSIP_Label_17cb76b2-10b8-4fe1-93d4-2202842406cd_SiteId">
    <vt:lpwstr>945c199a-83a2-4e80-9f8c-5a91be5752dd</vt:lpwstr>
  </property>
  <property fmtid="{D5CDD505-2E9C-101B-9397-08002B2CF9AE}" pid="4" name="MSIP_Label_17cb76b2-10b8-4fe1-93d4-2202842406cd_Owner">
    <vt:lpwstr>Kazimierz_Szczepanik@Dell.com</vt:lpwstr>
  </property>
  <property fmtid="{D5CDD505-2E9C-101B-9397-08002B2CF9AE}" pid="5" name="MSIP_Label_17cb76b2-10b8-4fe1-93d4-2202842406cd_SetDate">
    <vt:lpwstr>2018-06-25T11:20:32.4549370Z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Application">
    <vt:lpwstr>Microsoft Azure Information Protection</vt:lpwstr>
  </property>
  <property fmtid="{D5CDD505-2E9C-101B-9397-08002B2CF9AE}" pid="8" name="MSIP_Label_17cb76b2-10b8-4fe1-93d4-2202842406cd_Extended_MSFT_Method">
    <vt:lpwstr>Manual</vt:lpwstr>
  </property>
  <property fmtid="{D5CDD505-2E9C-101B-9397-08002B2CF9AE}" pid="9" name="Sensitivity">
    <vt:lpwstr>External Public</vt:lpwstr>
  </property>
</Properties>
</file>