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9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1815"/>
        <w:gridCol w:w="8325"/>
      </w:tblGrid>
      <w:tr w:rsidR="00747E55" w:rsidRPr="00334829" w14:paraId="4DF29AE5" w14:textId="77777777">
        <w:tc>
          <w:tcPr>
            <w:tcW w:w="825" w:type="dxa"/>
            <w:shd w:val="clear" w:color="auto" w:fill="BFBFBF"/>
          </w:tcPr>
          <w:p w14:paraId="00000002" w14:textId="77777777" w:rsidR="00747E55" w:rsidRPr="00334829" w:rsidRDefault="008B2F26">
            <w:pPr>
              <w:spacing w:before="0" w:after="0" w:line="240" w:lineRule="auto"/>
              <w:jc w:val="center"/>
              <w:rPr>
                <w:b/>
                <w:sz w:val="20"/>
                <w:szCs w:val="20"/>
              </w:rPr>
            </w:pPr>
            <w:r w:rsidRPr="00334829">
              <w:rPr>
                <w:b/>
                <w:sz w:val="20"/>
                <w:szCs w:val="20"/>
              </w:rPr>
              <w:t>Lp.</w:t>
            </w:r>
          </w:p>
        </w:tc>
        <w:tc>
          <w:tcPr>
            <w:tcW w:w="1815" w:type="dxa"/>
            <w:shd w:val="clear" w:color="auto" w:fill="BFBFBF"/>
          </w:tcPr>
          <w:p w14:paraId="00000003" w14:textId="77777777" w:rsidR="00747E55" w:rsidRPr="00334829" w:rsidRDefault="008B2F26">
            <w:pPr>
              <w:spacing w:before="0" w:after="0" w:line="240" w:lineRule="auto"/>
              <w:jc w:val="center"/>
              <w:rPr>
                <w:b/>
                <w:sz w:val="20"/>
                <w:szCs w:val="20"/>
              </w:rPr>
            </w:pPr>
            <w:r w:rsidRPr="00334829">
              <w:rPr>
                <w:b/>
                <w:sz w:val="20"/>
                <w:szCs w:val="20"/>
              </w:rPr>
              <w:t>Nazwa parametru</w:t>
            </w:r>
          </w:p>
        </w:tc>
        <w:tc>
          <w:tcPr>
            <w:tcW w:w="8325" w:type="dxa"/>
            <w:shd w:val="clear" w:color="auto" w:fill="BFBFBF"/>
          </w:tcPr>
          <w:p w14:paraId="00000004" w14:textId="77777777" w:rsidR="00747E55" w:rsidRPr="00334829" w:rsidRDefault="008B2F26">
            <w:pPr>
              <w:spacing w:before="0" w:after="0" w:line="240" w:lineRule="auto"/>
              <w:jc w:val="center"/>
              <w:rPr>
                <w:b/>
                <w:sz w:val="20"/>
                <w:szCs w:val="20"/>
              </w:rPr>
            </w:pPr>
            <w:r w:rsidRPr="00334829">
              <w:rPr>
                <w:b/>
                <w:sz w:val="20"/>
                <w:szCs w:val="20"/>
              </w:rPr>
              <w:t>Minimalna wartość parametru</w:t>
            </w:r>
          </w:p>
        </w:tc>
      </w:tr>
      <w:tr w:rsidR="00747E55" w:rsidRPr="00334829" w14:paraId="6F2D226C" w14:textId="77777777">
        <w:tc>
          <w:tcPr>
            <w:tcW w:w="825" w:type="dxa"/>
          </w:tcPr>
          <w:p w14:paraId="00000005" w14:textId="77777777" w:rsidR="00747E55" w:rsidRPr="00334829" w:rsidRDefault="00747E55">
            <w:pPr>
              <w:numPr>
                <w:ilvl w:val="0"/>
                <w:numId w:val="3"/>
              </w:numPr>
              <w:pBdr>
                <w:top w:val="nil"/>
                <w:left w:val="nil"/>
                <w:bottom w:val="nil"/>
                <w:right w:val="nil"/>
                <w:between w:val="nil"/>
              </w:pBdr>
              <w:spacing w:before="0" w:after="0" w:line="240" w:lineRule="auto"/>
              <w:rPr>
                <w:color w:val="000000"/>
                <w:sz w:val="20"/>
                <w:szCs w:val="20"/>
              </w:rPr>
            </w:pPr>
          </w:p>
        </w:tc>
        <w:tc>
          <w:tcPr>
            <w:tcW w:w="1815" w:type="dxa"/>
          </w:tcPr>
          <w:p w14:paraId="00000006" w14:textId="77777777" w:rsidR="00747E55" w:rsidRPr="00334829" w:rsidRDefault="008B2F26">
            <w:pPr>
              <w:spacing w:before="0" w:after="0" w:line="240" w:lineRule="auto"/>
              <w:rPr>
                <w:sz w:val="20"/>
                <w:szCs w:val="20"/>
              </w:rPr>
            </w:pPr>
            <w:r w:rsidRPr="00334829">
              <w:rPr>
                <w:sz w:val="20"/>
                <w:szCs w:val="20"/>
              </w:rPr>
              <w:t xml:space="preserve">Obudowa </w:t>
            </w:r>
          </w:p>
        </w:tc>
        <w:tc>
          <w:tcPr>
            <w:tcW w:w="8325" w:type="dxa"/>
          </w:tcPr>
          <w:p w14:paraId="00000007" w14:textId="77777777" w:rsidR="00747E55" w:rsidRPr="00334829" w:rsidRDefault="008B2F26">
            <w:pPr>
              <w:spacing w:before="0" w:after="0" w:line="240" w:lineRule="auto"/>
              <w:jc w:val="both"/>
              <w:rPr>
                <w:sz w:val="20"/>
                <w:szCs w:val="20"/>
              </w:rPr>
            </w:pPr>
            <w:r w:rsidRPr="00334829">
              <w:rPr>
                <w:sz w:val="20"/>
                <w:szCs w:val="20"/>
              </w:rPr>
              <w:t>System musi być dostarczony ze wszystkimi komponentami do instalacji w szafie rack 19''.</w:t>
            </w:r>
          </w:p>
        </w:tc>
      </w:tr>
      <w:tr w:rsidR="00747E55" w:rsidRPr="00334829" w14:paraId="318E8445" w14:textId="77777777">
        <w:tc>
          <w:tcPr>
            <w:tcW w:w="825" w:type="dxa"/>
          </w:tcPr>
          <w:p w14:paraId="00000008" w14:textId="77777777" w:rsidR="00747E55" w:rsidRPr="00334829" w:rsidRDefault="00747E55">
            <w:pPr>
              <w:numPr>
                <w:ilvl w:val="0"/>
                <w:numId w:val="3"/>
              </w:numPr>
              <w:pBdr>
                <w:top w:val="nil"/>
                <w:left w:val="nil"/>
                <w:bottom w:val="nil"/>
                <w:right w:val="nil"/>
                <w:between w:val="nil"/>
              </w:pBdr>
              <w:spacing w:before="0" w:after="0" w:line="240" w:lineRule="auto"/>
              <w:rPr>
                <w:color w:val="000000"/>
                <w:sz w:val="20"/>
                <w:szCs w:val="20"/>
              </w:rPr>
            </w:pPr>
          </w:p>
        </w:tc>
        <w:tc>
          <w:tcPr>
            <w:tcW w:w="1815" w:type="dxa"/>
          </w:tcPr>
          <w:p w14:paraId="00000009" w14:textId="7B2B8508" w:rsidR="00747E55" w:rsidRPr="00334829" w:rsidRDefault="008B2F26">
            <w:pPr>
              <w:spacing w:before="0" w:after="0" w:line="240" w:lineRule="auto"/>
              <w:rPr>
                <w:sz w:val="20"/>
                <w:szCs w:val="20"/>
              </w:rPr>
            </w:pPr>
            <w:r w:rsidRPr="00334829">
              <w:rPr>
                <w:sz w:val="20"/>
                <w:szCs w:val="20"/>
              </w:rPr>
              <w:t xml:space="preserve"> </w:t>
            </w:r>
            <w:r w:rsidR="00DE1F3A">
              <w:rPr>
                <w:sz w:val="20"/>
                <w:szCs w:val="20"/>
              </w:rPr>
              <w:t>System</w:t>
            </w:r>
          </w:p>
        </w:tc>
        <w:tc>
          <w:tcPr>
            <w:tcW w:w="8325" w:type="dxa"/>
          </w:tcPr>
          <w:p w14:paraId="0000000A" w14:textId="77777777" w:rsidR="00747E55" w:rsidRPr="00334829" w:rsidRDefault="008B2F26">
            <w:pPr>
              <w:spacing w:before="0" w:after="0" w:line="240" w:lineRule="auto"/>
              <w:jc w:val="both"/>
              <w:rPr>
                <w:sz w:val="20"/>
                <w:szCs w:val="20"/>
              </w:rPr>
            </w:pPr>
            <w:r w:rsidRPr="00334829">
              <w:rPr>
                <w:sz w:val="20"/>
                <w:szCs w:val="20"/>
              </w:rPr>
              <w:t>System musi zostać dostarczony w konfiguracji zawierającej minimum</w:t>
            </w:r>
          </w:p>
          <w:p w14:paraId="0000000B" w14:textId="4FB523AF" w:rsidR="00747E55" w:rsidRPr="00334829" w:rsidRDefault="00747E55">
            <w:pPr>
              <w:spacing w:before="0" w:after="0" w:line="240" w:lineRule="auto"/>
              <w:jc w:val="both"/>
              <w:rPr>
                <w:sz w:val="20"/>
                <w:szCs w:val="20"/>
              </w:rPr>
            </w:pPr>
          </w:p>
          <w:p w14:paraId="27458D42" w14:textId="28E2E91D" w:rsidR="006828BB" w:rsidRPr="00334829" w:rsidRDefault="004D30C9">
            <w:pPr>
              <w:spacing w:before="0" w:after="0" w:line="240" w:lineRule="auto"/>
              <w:jc w:val="both"/>
              <w:rPr>
                <w:sz w:val="20"/>
                <w:szCs w:val="20"/>
              </w:rPr>
            </w:pPr>
            <w:r w:rsidRPr="00334829">
              <w:rPr>
                <w:sz w:val="20"/>
                <w:szCs w:val="20"/>
              </w:rPr>
              <w:t>6</w:t>
            </w:r>
            <w:r w:rsidR="0056088B" w:rsidRPr="00334829">
              <w:rPr>
                <w:sz w:val="20"/>
                <w:szCs w:val="20"/>
              </w:rPr>
              <w:t xml:space="preserve"> dysk</w:t>
            </w:r>
            <w:r w:rsidR="005D58E5" w:rsidRPr="00334829">
              <w:rPr>
                <w:sz w:val="20"/>
                <w:szCs w:val="20"/>
              </w:rPr>
              <w:t>ów</w:t>
            </w:r>
            <w:r w:rsidR="002D6215" w:rsidRPr="00334829">
              <w:rPr>
                <w:sz w:val="20"/>
                <w:szCs w:val="20"/>
              </w:rPr>
              <w:t xml:space="preserve"> </w:t>
            </w:r>
            <w:r w:rsidRPr="00334829">
              <w:rPr>
                <w:sz w:val="20"/>
                <w:szCs w:val="20"/>
              </w:rPr>
              <w:t>22</w:t>
            </w:r>
            <w:r w:rsidR="002D6215" w:rsidRPr="00334829">
              <w:rPr>
                <w:sz w:val="20"/>
                <w:szCs w:val="20"/>
              </w:rPr>
              <w:t>TB NL-SAS</w:t>
            </w:r>
          </w:p>
          <w:p w14:paraId="7168CA72" w14:textId="696F541E" w:rsidR="00EB1528" w:rsidRPr="00334829" w:rsidRDefault="004D30C9">
            <w:pPr>
              <w:spacing w:before="0" w:after="0" w:line="240" w:lineRule="auto"/>
              <w:jc w:val="both"/>
              <w:rPr>
                <w:sz w:val="20"/>
                <w:szCs w:val="20"/>
              </w:rPr>
            </w:pPr>
            <w:r w:rsidRPr="00334829">
              <w:rPr>
                <w:sz w:val="20"/>
                <w:szCs w:val="20"/>
              </w:rPr>
              <w:t xml:space="preserve">6 dysków 1900GB </w:t>
            </w:r>
            <w:r w:rsidR="00681A66" w:rsidRPr="00334829">
              <w:rPr>
                <w:sz w:val="20"/>
                <w:szCs w:val="20"/>
              </w:rPr>
              <w:t>SSD SAS</w:t>
            </w:r>
          </w:p>
          <w:p w14:paraId="7ABDB336" w14:textId="77777777" w:rsidR="00837CC3" w:rsidRPr="00334829" w:rsidRDefault="00837CC3">
            <w:pPr>
              <w:spacing w:before="0" w:after="0" w:line="240" w:lineRule="auto"/>
              <w:jc w:val="both"/>
              <w:rPr>
                <w:sz w:val="20"/>
                <w:szCs w:val="20"/>
              </w:rPr>
            </w:pPr>
          </w:p>
          <w:p w14:paraId="0000000E" w14:textId="4F80C65B" w:rsidR="00747E55" w:rsidRPr="00334829" w:rsidRDefault="008B2F26">
            <w:pPr>
              <w:spacing w:before="0" w:after="0" w:line="240" w:lineRule="auto"/>
              <w:jc w:val="both"/>
              <w:rPr>
                <w:sz w:val="20"/>
                <w:szCs w:val="20"/>
              </w:rPr>
            </w:pPr>
            <w:r w:rsidRPr="00334829">
              <w:rPr>
                <w:sz w:val="20"/>
                <w:szCs w:val="20"/>
              </w:rPr>
              <w:t xml:space="preserve">i zajmować maksymalnie </w:t>
            </w:r>
            <w:r w:rsidR="004D30C9" w:rsidRPr="00334829">
              <w:rPr>
                <w:sz w:val="20"/>
                <w:szCs w:val="20"/>
              </w:rPr>
              <w:t>2</w:t>
            </w:r>
            <w:r w:rsidR="007862D4" w:rsidRPr="00334829">
              <w:rPr>
                <w:sz w:val="20"/>
                <w:szCs w:val="20"/>
              </w:rPr>
              <w:t>U</w:t>
            </w:r>
            <w:r w:rsidRPr="00334829">
              <w:rPr>
                <w:sz w:val="20"/>
                <w:szCs w:val="20"/>
              </w:rPr>
              <w:t xml:space="preserve"> w szafie rack</w:t>
            </w:r>
          </w:p>
          <w:p w14:paraId="0000000F" w14:textId="77777777" w:rsidR="00747E55" w:rsidRPr="00334829" w:rsidRDefault="00747E55">
            <w:pPr>
              <w:spacing w:before="0" w:after="0" w:line="240" w:lineRule="auto"/>
              <w:jc w:val="both"/>
              <w:rPr>
                <w:sz w:val="20"/>
                <w:szCs w:val="20"/>
              </w:rPr>
            </w:pPr>
          </w:p>
          <w:p w14:paraId="00000010" w14:textId="77777777" w:rsidR="00747E55" w:rsidRPr="00334829" w:rsidRDefault="008B2F26">
            <w:pPr>
              <w:spacing w:before="0" w:after="0" w:line="240" w:lineRule="auto"/>
              <w:jc w:val="both"/>
              <w:rPr>
                <w:sz w:val="20"/>
                <w:szCs w:val="20"/>
              </w:rPr>
            </w:pPr>
            <w:r w:rsidRPr="00334829">
              <w:rPr>
                <w:sz w:val="20"/>
                <w:szCs w:val="20"/>
              </w:rPr>
              <w:t>System musi ponadto wspierać dyski:</w:t>
            </w:r>
          </w:p>
          <w:p w14:paraId="00000011" w14:textId="77777777" w:rsidR="00747E55" w:rsidRPr="00334829" w:rsidRDefault="008B2F26">
            <w:pPr>
              <w:pBdr>
                <w:top w:val="nil"/>
                <w:left w:val="nil"/>
                <w:bottom w:val="nil"/>
                <w:right w:val="nil"/>
                <w:between w:val="nil"/>
              </w:pBdr>
              <w:spacing w:before="0" w:after="0" w:line="240" w:lineRule="auto"/>
              <w:jc w:val="both"/>
              <w:rPr>
                <w:color w:val="000000"/>
                <w:sz w:val="20"/>
                <w:szCs w:val="20"/>
              </w:rPr>
            </w:pPr>
            <w:r w:rsidRPr="00334829">
              <w:rPr>
                <w:color w:val="000000"/>
                <w:sz w:val="20"/>
                <w:szCs w:val="20"/>
              </w:rPr>
              <w:t>- SSD: od 800GB do 15.3TB</w:t>
            </w:r>
          </w:p>
          <w:p w14:paraId="00000012" w14:textId="77777777" w:rsidR="00747E55" w:rsidRPr="00334829" w:rsidRDefault="008B2F26">
            <w:pPr>
              <w:pBdr>
                <w:top w:val="nil"/>
                <w:left w:val="nil"/>
                <w:bottom w:val="nil"/>
                <w:right w:val="nil"/>
                <w:between w:val="nil"/>
              </w:pBdr>
              <w:spacing w:before="0" w:after="0" w:line="240" w:lineRule="auto"/>
              <w:jc w:val="both"/>
              <w:rPr>
                <w:color w:val="000000"/>
                <w:sz w:val="20"/>
                <w:szCs w:val="20"/>
              </w:rPr>
            </w:pPr>
            <w:r w:rsidRPr="00334829">
              <w:rPr>
                <w:color w:val="000000"/>
                <w:sz w:val="20"/>
                <w:szCs w:val="20"/>
              </w:rPr>
              <w:t>- SAS 10k od 900GB do 1800GB</w:t>
            </w:r>
          </w:p>
          <w:p w14:paraId="00000013" w14:textId="063A390E" w:rsidR="00747E55" w:rsidRPr="00334829" w:rsidRDefault="008B2F26">
            <w:pPr>
              <w:pBdr>
                <w:top w:val="nil"/>
                <w:left w:val="nil"/>
                <w:bottom w:val="nil"/>
                <w:right w:val="nil"/>
                <w:between w:val="nil"/>
              </w:pBdr>
              <w:spacing w:before="0" w:after="0" w:line="240" w:lineRule="auto"/>
              <w:jc w:val="both"/>
              <w:rPr>
                <w:color w:val="000000"/>
                <w:sz w:val="20"/>
                <w:szCs w:val="20"/>
              </w:rPr>
            </w:pPr>
            <w:r w:rsidRPr="00334829">
              <w:rPr>
                <w:color w:val="000000"/>
                <w:sz w:val="20"/>
                <w:szCs w:val="20"/>
              </w:rPr>
              <w:t>- NL-SAS od 4TB do 1</w:t>
            </w:r>
            <w:r w:rsidR="00797B7B" w:rsidRPr="00334829">
              <w:rPr>
                <w:color w:val="000000"/>
                <w:sz w:val="20"/>
                <w:szCs w:val="20"/>
              </w:rPr>
              <w:t>8</w:t>
            </w:r>
            <w:r w:rsidRPr="00334829">
              <w:rPr>
                <w:color w:val="000000"/>
                <w:sz w:val="20"/>
                <w:szCs w:val="20"/>
              </w:rPr>
              <w:t>TB</w:t>
            </w:r>
          </w:p>
          <w:p w14:paraId="00000014" w14:textId="77777777" w:rsidR="00747E55" w:rsidRPr="00334829" w:rsidRDefault="00747E55">
            <w:pPr>
              <w:pBdr>
                <w:top w:val="nil"/>
                <w:left w:val="nil"/>
                <w:bottom w:val="nil"/>
                <w:right w:val="nil"/>
                <w:between w:val="nil"/>
              </w:pBdr>
              <w:spacing w:before="0" w:after="0" w:line="240" w:lineRule="auto"/>
              <w:jc w:val="both"/>
              <w:rPr>
                <w:color w:val="000000"/>
                <w:sz w:val="20"/>
                <w:szCs w:val="20"/>
              </w:rPr>
            </w:pPr>
          </w:p>
          <w:p w14:paraId="00000015" w14:textId="4D51B714" w:rsidR="00536A01" w:rsidRPr="00334829" w:rsidRDefault="008B2F26">
            <w:pPr>
              <w:pBdr>
                <w:top w:val="nil"/>
                <w:left w:val="nil"/>
                <w:bottom w:val="nil"/>
                <w:right w:val="nil"/>
                <w:between w:val="nil"/>
              </w:pBdr>
              <w:spacing w:before="0" w:after="0" w:line="240" w:lineRule="auto"/>
              <w:jc w:val="both"/>
              <w:rPr>
                <w:color w:val="000000"/>
                <w:sz w:val="20"/>
                <w:szCs w:val="20"/>
              </w:rPr>
            </w:pPr>
            <w:r w:rsidRPr="00334829">
              <w:rPr>
                <w:color w:val="000000"/>
                <w:sz w:val="20"/>
                <w:szCs w:val="20"/>
              </w:rPr>
              <w:t xml:space="preserve">System musi mieć możliwość rozbudowy do minimum </w:t>
            </w:r>
            <w:r w:rsidR="00F22D46" w:rsidRPr="00334829">
              <w:rPr>
                <w:color w:val="000000"/>
                <w:sz w:val="20"/>
                <w:szCs w:val="20"/>
              </w:rPr>
              <w:t>300</w:t>
            </w:r>
            <w:r w:rsidRPr="00334829">
              <w:rPr>
                <w:color w:val="000000"/>
                <w:sz w:val="20"/>
                <w:szCs w:val="20"/>
              </w:rPr>
              <w:t xml:space="preserve"> dysków oraz musi pozwalać na rozbudowę do wyższych modeli bez potrzeby migracji danych (przez rozbudowę do wyższego modelu zamawiający rozumie do modelu macierzy z większą ilością Cache, większą skalowalnością i mocniejszymi procesorami). Zamawiający dopuszcza rozwiązanie, które nie pozwala na taką rozbudowę w przypadku, gdy zostanie zaoferowany najwyższy z modeli macierzy skalowalny min do 500 dysków oraz pamięcią cache min 512GB.</w:t>
            </w:r>
            <w:r w:rsidR="001F0B06" w:rsidRPr="00334829">
              <w:rPr>
                <w:color w:val="000000"/>
                <w:sz w:val="20"/>
                <w:szCs w:val="20"/>
              </w:rPr>
              <w:t xml:space="preserve"> </w:t>
            </w:r>
          </w:p>
        </w:tc>
      </w:tr>
      <w:tr w:rsidR="00747E55" w:rsidRPr="00334829" w14:paraId="4375086F" w14:textId="77777777">
        <w:tc>
          <w:tcPr>
            <w:tcW w:w="825" w:type="dxa"/>
          </w:tcPr>
          <w:p w14:paraId="00000016" w14:textId="77777777" w:rsidR="00747E55" w:rsidRPr="00334829" w:rsidRDefault="00747E55">
            <w:pPr>
              <w:numPr>
                <w:ilvl w:val="0"/>
                <w:numId w:val="3"/>
              </w:numPr>
              <w:pBdr>
                <w:top w:val="nil"/>
                <w:left w:val="nil"/>
                <w:bottom w:val="nil"/>
                <w:right w:val="nil"/>
                <w:between w:val="nil"/>
              </w:pBdr>
              <w:spacing w:before="0" w:after="0" w:line="240" w:lineRule="auto"/>
              <w:rPr>
                <w:color w:val="000000"/>
                <w:sz w:val="20"/>
                <w:szCs w:val="20"/>
              </w:rPr>
            </w:pPr>
          </w:p>
        </w:tc>
        <w:tc>
          <w:tcPr>
            <w:tcW w:w="1815" w:type="dxa"/>
          </w:tcPr>
          <w:p w14:paraId="00000017" w14:textId="77777777" w:rsidR="00747E55" w:rsidRPr="00334829" w:rsidRDefault="008B2F26">
            <w:pPr>
              <w:spacing w:before="0" w:after="0" w:line="240" w:lineRule="auto"/>
              <w:rPr>
                <w:sz w:val="20"/>
                <w:szCs w:val="20"/>
              </w:rPr>
            </w:pPr>
            <w:r w:rsidRPr="00334829">
              <w:rPr>
                <w:sz w:val="20"/>
                <w:szCs w:val="20"/>
              </w:rPr>
              <w:t xml:space="preserve">Kontroler </w:t>
            </w:r>
          </w:p>
        </w:tc>
        <w:tc>
          <w:tcPr>
            <w:tcW w:w="8325" w:type="dxa"/>
          </w:tcPr>
          <w:p w14:paraId="00000018" w14:textId="17F2DD2A" w:rsidR="00747E55" w:rsidRPr="00334829" w:rsidRDefault="008B2F26">
            <w:pPr>
              <w:spacing w:before="0" w:after="0" w:line="240" w:lineRule="auto"/>
              <w:jc w:val="both"/>
              <w:rPr>
                <w:sz w:val="20"/>
                <w:szCs w:val="20"/>
              </w:rPr>
            </w:pPr>
            <w:r w:rsidRPr="00334829">
              <w:rPr>
                <w:sz w:val="20"/>
                <w:szCs w:val="20"/>
              </w:rPr>
              <w:t xml:space="preserve">Dwa kontrolery wyposażone w przynajmniej </w:t>
            </w:r>
            <w:r w:rsidR="004D18BE" w:rsidRPr="00334829">
              <w:rPr>
                <w:sz w:val="20"/>
                <w:szCs w:val="20"/>
              </w:rPr>
              <w:t xml:space="preserve"> </w:t>
            </w:r>
            <w:r w:rsidR="002D6215" w:rsidRPr="00334829">
              <w:rPr>
                <w:sz w:val="20"/>
                <w:szCs w:val="20"/>
              </w:rPr>
              <w:t>32</w:t>
            </w:r>
            <w:r w:rsidR="00BD5C08" w:rsidRPr="00334829">
              <w:rPr>
                <w:sz w:val="20"/>
                <w:szCs w:val="20"/>
              </w:rPr>
              <w:t>GB</w:t>
            </w:r>
            <w:r w:rsidRPr="00334829">
              <w:rPr>
                <w:sz w:val="20"/>
                <w:szCs w:val="20"/>
              </w:rPr>
              <w:t xml:space="preserve"> cache każdy.</w:t>
            </w:r>
          </w:p>
          <w:p w14:paraId="00000019" w14:textId="77777777" w:rsidR="00747E55" w:rsidRPr="00334829" w:rsidRDefault="00747E55">
            <w:pPr>
              <w:spacing w:before="0" w:after="0" w:line="240" w:lineRule="auto"/>
              <w:jc w:val="both"/>
              <w:rPr>
                <w:sz w:val="20"/>
                <w:szCs w:val="20"/>
              </w:rPr>
            </w:pPr>
          </w:p>
          <w:p w14:paraId="0000001A" w14:textId="3EAB79AD" w:rsidR="00747E55" w:rsidRPr="00334829" w:rsidRDefault="008B2F26">
            <w:pPr>
              <w:spacing w:before="0" w:after="0" w:line="240" w:lineRule="auto"/>
              <w:jc w:val="both"/>
              <w:rPr>
                <w:sz w:val="20"/>
                <w:szCs w:val="20"/>
              </w:rPr>
            </w:pPr>
            <w:r w:rsidRPr="00334829">
              <w:rPr>
                <w:sz w:val="20"/>
                <w:szCs w:val="20"/>
              </w:rPr>
              <w:t xml:space="preserve">W przypadku awarii zasilania dane niezapisane na dyski, przechowywane w pamięci muszą być zabezpieczone za pomocą podtrzymania bateryjnego przez 72 godziny lub jako zrzut na pamięć flash. </w:t>
            </w:r>
          </w:p>
          <w:p w14:paraId="5367BA69" w14:textId="4D6742CF" w:rsidR="00327047" w:rsidRPr="00334829" w:rsidRDefault="00327047">
            <w:pPr>
              <w:spacing w:before="0" w:after="0" w:line="240" w:lineRule="auto"/>
              <w:jc w:val="both"/>
              <w:rPr>
                <w:sz w:val="20"/>
                <w:szCs w:val="20"/>
              </w:rPr>
            </w:pPr>
          </w:p>
          <w:p w14:paraId="0D7AD1EC" w14:textId="44AC1197" w:rsidR="00327047" w:rsidRPr="00334829" w:rsidRDefault="00797B7B" w:rsidP="00BF12A0">
            <w:pPr>
              <w:tabs>
                <w:tab w:val="left" w:pos="1716"/>
              </w:tabs>
              <w:spacing w:before="0" w:after="0" w:line="240" w:lineRule="auto"/>
              <w:rPr>
                <w:sz w:val="20"/>
                <w:szCs w:val="20"/>
              </w:rPr>
            </w:pPr>
            <w:r w:rsidRPr="00334829">
              <w:rPr>
                <w:sz w:val="20"/>
                <w:szCs w:val="20"/>
              </w:rPr>
              <w:t xml:space="preserve"> </w:t>
            </w:r>
          </w:p>
          <w:p w14:paraId="0000001B" w14:textId="259645DB" w:rsidR="00BD5C08" w:rsidRPr="00334829" w:rsidRDefault="00BD5C08">
            <w:pPr>
              <w:spacing w:before="0" w:after="0" w:line="240" w:lineRule="auto"/>
              <w:jc w:val="both"/>
              <w:rPr>
                <w:sz w:val="20"/>
                <w:szCs w:val="20"/>
              </w:rPr>
            </w:pPr>
          </w:p>
        </w:tc>
      </w:tr>
      <w:tr w:rsidR="00747E55" w:rsidRPr="00334829" w14:paraId="7BD15B18" w14:textId="77777777">
        <w:tc>
          <w:tcPr>
            <w:tcW w:w="825" w:type="dxa"/>
          </w:tcPr>
          <w:p w14:paraId="0000001C" w14:textId="77777777" w:rsidR="00747E55" w:rsidRPr="00334829" w:rsidRDefault="00747E55">
            <w:pPr>
              <w:numPr>
                <w:ilvl w:val="0"/>
                <w:numId w:val="3"/>
              </w:numPr>
              <w:pBdr>
                <w:top w:val="nil"/>
                <w:left w:val="nil"/>
                <w:bottom w:val="nil"/>
                <w:right w:val="nil"/>
                <w:between w:val="nil"/>
              </w:pBdr>
              <w:spacing w:before="0" w:after="0" w:line="240" w:lineRule="auto"/>
              <w:rPr>
                <w:color w:val="000000"/>
                <w:sz w:val="20"/>
                <w:szCs w:val="20"/>
              </w:rPr>
            </w:pPr>
          </w:p>
        </w:tc>
        <w:tc>
          <w:tcPr>
            <w:tcW w:w="1815" w:type="dxa"/>
          </w:tcPr>
          <w:p w14:paraId="0000001D" w14:textId="77777777" w:rsidR="00747E55" w:rsidRPr="00334829" w:rsidRDefault="008B2F26">
            <w:pPr>
              <w:spacing w:before="0" w:after="0" w:line="240" w:lineRule="auto"/>
              <w:rPr>
                <w:sz w:val="20"/>
                <w:szCs w:val="20"/>
              </w:rPr>
            </w:pPr>
            <w:r w:rsidRPr="00334829">
              <w:rPr>
                <w:sz w:val="20"/>
                <w:szCs w:val="20"/>
              </w:rPr>
              <w:t xml:space="preserve">Interfejsy </w:t>
            </w:r>
          </w:p>
        </w:tc>
        <w:tc>
          <w:tcPr>
            <w:tcW w:w="8325" w:type="dxa"/>
          </w:tcPr>
          <w:p w14:paraId="0000001E" w14:textId="77777777" w:rsidR="00747E55" w:rsidRPr="00334829" w:rsidRDefault="008B2F26">
            <w:pPr>
              <w:spacing w:before="0" w:after="0" w:line="240" w:lineRule="auto"/>
              <w:jc w:val="both"/>
              <w:rPr>
                <w:sz w:val="20"/>
                <w:szCs w:val="20"/>
              </w:rPr>
            </w:pPr>
            <w:r w:rsidRPr="00334829">
              <w:rPr>
                <w:sz w:val="20"/>
                <w:szCs w:val="20"/>
              </w:rPr>
              <w:t xml:space="preserve">Oferowana macierz musi posiadać minimum </w:t>
            </w:r>
          </w:p>
          <w:p w14:paraId="0000001F" w14:textId="6427EBF3" w:rsidR="00747E55" w:rsidRPr="00334829" w:rsidRDefault="008B2F26">
            <w:pPr>
              <w:spacing w:before="0" w:after="0" w:line="240" w:lineRule="auto"/>
              <w:jc w:val="both"/>
              <w:rPr>
                <w:sz w:val="20"/>
                <w:szCs w:val="20"/>
              </w:rPr>
            </w:pPr>
            <w:r w:rsidRPr="00334829">
              <w:rPr>
                <w:sz w:val="20"/>
                <w:szCs w:val="20"/>
              </w:rPr>
              <w:t xml:space="preserve">             </w:t>
            </w:r>
            <w:r w:rsidR="004D30C9" w:rsidRPr="00334829">
              <w:rPr>
                <w:sz w:val="20"/>
                <w:szCs w:val="20"/>
              </w:rPr>
              <w:t>- 8 portów 32Gb FC z wkładkami SFP+</w:t>
            </w:r>
          </w:p>
          <w:p w14:paraId="00000020" w14:textId="31471CCE" w:rsidR="00747E55" w:rsidRPr="00334829" w:rsidRDefault="008B2F26">
            <w:pPr>
              <w:spacing w:before="0" w:after="0" w:line="240" w:lineRule="auto"/>
              <w:jc w:val="both"/>
              <w:rPr>
                <w:sz w:val="20"/>
                <w:szCs w:val="20"/>
              </w:rPr>
            </w:pPr>
            <w:r w:rsidRPr="00334829">
              <w:rPr>
                <w:sz w:val="20"/>
                <w:szCs w:val="20"/>
              </w:rPr>
              <w:t xml:space="preserve">             </w:t>
            </w:r>
            <w:r w:rsidR="00096766" w:rsidRPr="00334829">
              <w:rPr>
                <w:sz w:val="20"/>
                <w:szCs w:val="20"/>
              </w:rPr>
              <w:t xml:space="preserve">- 4 porty </w:t>
            </w:r>
            <w:r w:rsidR="002D6215" w:rsidRPr="00334829">
              <w:rPr>
                <w:sz w:val="20"/>
                <w:szCs w:val="20"/>
              </w:rPr>
              <w:t>10</w:t>
            </w:r>
            <w:r w:rsidR="00F63449" w:rsidRPr="00334829">
              <w:rPr>
                <w:sz w:val="20"/>
                <w:szCs w:val="20"/>
              </w:rPr>
              <w:t>Gb</w:t>
            </w:r>
            <w:r w:rsidR="002D6215" w:rsidRPr="00334829">
              <w:rPr>
                <w:sz w:val="20"/>
                <w:szCs w:val="20"/>
              </w:rPr>
              <w:t>E</w:t>
            </w:r>
            <w:r w:rsidR="00F63449" w:rsidRPr="00334829">
              <w:rPr>
                <w:sz w:val="20"/>
                <w:szCs w:val="20"/>
              </w:rPr>
              <w:t xml:space="preserve"> </w:t>
            </w:r>
          </w:p>
          <w:p w14:paraId="00000021" w14:textId="256CB54E" w:rsidR="00747E55" w:rsidRPr="00334829" w:rsidRDefault="00544C33" w:rsidP="00AA45C9">
            <w:pPr>
              <w:spacing w:before="0" w:after="0" w:line="240" w:lineRule="auto"/>
              <w:jc w:val="both"/>
              <w:rPr>
                <w:sz w:val="20"/>
                <w:szCs w:val="20"/>
              </w:rPr>
            </w:pPr>
            <w:r w:rsidRPr="00334829">
              <w:rPr>
                <w:sz w:val="20"/>
                <w:szCs w:val="20"/>
              </w:rPr>
              <w:t xml:space="preserve">          </w:t>
            </w:r>
            <w:r w:rsidR="005E13BA" w:rsidRPr="00334829">
              <w:rPr>
                <w:sz w:val="20"/>
                <w:szCs w:val="20"/>
              </w:rPr>
              <w:t xml:space="preserve">   </w:t>
            </w:r>
            <w:r w:rsidR="008B2F26" w:rsidRPr="00334829">
              <w:rPr>
                <w:sz w:val="20"/>
                <w:szCs w:val="20"/>
              </w:rPr>
              <w:t>- 4 porty SAS 12 Gb/s do podłączenia półek dyskowych</w:t>
            </w:r>
          </w:p>
          <w:p w14:paraId="2733EF17" w14:textId="2C07EC81" w:rsidR="0078737D" w:rsidRPr="00334829" w:rsidRDefault="009A3983" w:rsidP="00AA45C9">
            <w:pPr>
              <w:spacing w:before="0" w:after="0" w:line="240" w:lineRule="auto"/>
              <w:jc w:val="both"/>
              <w:rPr>
                <w:sz w:val="20"/>
                <w:szCs w:val="20"/>
              </w:rPr>
            </w:pPr>
            <w:r w:rsidRPr="00334829">
              <w:rPr>
                <w:sz w:val="20"/>
                <w:szCs w:val="20"/>
              </w:rPr>
              <w:t xml:space="preserve">Zaoferowana macierz musi pozwalać na: </w:t>
            </w:r>
          </w:p>
          <w:p w14:paraId="38D972D4" w14:textId="6AE285A6" w:rsidR="004D30C9" w:rsidRPr="00334829" w:rsidRDefault="00022277" w:rsidP="004D30C9">
            <w:pPr>
              <w:spacing w:before="0" w:after="0" w:line="240" w:lineRule="auto"/>
              <w:jc w:val="both"/>
              <w:rPr>
                <w:sz w:val="20"/>
                <w:szCs w:val="20"/>
              </w:rPr>
            </w:pPr>
            <w:r w:rsidRPr="00334829">
              <w:rPr>
                <w:sz w:val="20"/>
                <w:szCs w:val="20"/>
              </w:rPr>
              <w:t xml:space="preserve">      </w:t>
            </w:r>
          </w:p>
          <w:p w14:paraId="554E5540" w14:textId="52EC10C4" w:rsidR="004D4993" w:rsidRPr="00334829" w:rsidRDefault="004D4993" w:rsidP="00AA45C9">
            <w:pPr>
              <w:spacing w:before="0" w:after="0" w:line="240" w:lineRule="auto"/>
              <w:jc w:val="both"/>
              <w:rPr>
                <w:sz w:val="20"/>
                <w:szCs w:val="20"/>
              </w:rPr>
            </w:pPr>
            <w:r w:rsidRPr="00334829">
              <w:rPr>
                <w:sz w:val="20"/>
                <w:szCs w:val="20"/>
              </w:rPr>
              <w:t xml:space="preserve">      </w:t>
            </w:r>
            <w:r w:rsidR="004D30C9" w:rsidRPr="00334829">
              <w:rPr>
                <w:sz w:val="20"/>
                <w:szCs w:val="20"/>
              </w:rPr>
              <w:t xml:space="preserve">      </w:t>
            </w:r>
            <w:r w:rsidRPr="00334829">
              <w:rPr>
                <w:sz w:val="20"/>
                <w:szCs w:val="20"/>
              </w:rPr>
              <w:t xml:space="preserve">  -</w:t>
            </w:r>
            <w:r w:rsidR="009A4276" w:rsidRPr="00334829">
              <w:rPr>
                <w:sz w:val="20"/>
                <w:szCs w:val="20"/>
              </w:rPr>
              <w:t xml:space="preserve"> zamianę protokołu FC na iSCSI w ramach tej samej wkładki</w:t>
            </w:r>
          </w:p>
          <w:p w14:paraId="306A32C6" w14:textId="77A09E37" w:rsidR="009A4276" w:rsidRPr="00334829" w:rsidRDefault="009A4276" w:rsidP="00AA45C9">
            <w:pPr>
              <w:spacing w:before="0" w:after="0" w:line="240" w:lineRule="auto"/>
              <w:jc w:val="both"/>
              <w:rPr>
                <w:sz w:val="20"/>
                <w:szCs w:val="20"/>
              </w:rPr>
            </w:pPr>
            <w:r w:rsidRPr="00334829">
              <w:rPr>
                <w:sz w:val="20"/>
                <w:szCs w:val="20"/>
              </w:rPr>
              <w:t xml:space="preserve">              - </w:t>
            </w:r>
            <w:r w:rsidR="00417BFC" w:rsidRPr="00334829">
              <w:rPr>
                <w:sz w:val="20"/>
                <w:szCs w:val="20"/>
              </w:rPr>
              <w:t>rozbudowę o porty SAS do podłączenia serwerów</w:t>
            </w:r>
          </w:p>
          <w:p w14:paraId="00000026" w14:textId="77777777" w:rsidR="00747E55" w:rsidRPr="00334829" w:rsidRDefault="00747E55" w:rsidP="009A4276">
            <w:pPr>
              <w:spacing w:before="0" w:after="0" w:line="240" w:lineRule="auto"/>
              <w:jc w:val="both"/>
              <w:rPr>
                <w:rFonts w:eastAsia="Times New Roman" w:cs="Times New Roman"/>
                <w:color w:val="000000"/>
                <w:sz w:val="20"/>
                <w:szCs w:val="20"/>
              </w:rPr>
            </w:pPr>
          </w:p>
        </w:tc>
      </w:tr>
      <w:tr w:rsidR="00747E55" w:rsidRPr="00334829" w14:paraId="29A0A094" w14:textId="77777777">
        <w:trPr>
          <w:trHeight w:val="440"/>
        </w:trPr>
        <w:tc>
          <w:tcPr>
            <w:tcW w:w="825" w:type="dxa"/>
          </w:tcPr>
          <w:p w14:paraId="00000027" w14:textId="77777777" w:rsidR="00747E55" w:rsidRPr="00334829" w:rsidRDefault="00747E55">
            <w:pPr>
              <w:numPr>
                <w:ilvl w:val="0"/>
                <w:numId w:val="3"/>
              </w:numPr>
              <w:pBdr>
                <w:top w:val="nil"/>
                <w:left w:val="nil"/>
                <w:bottom w:val="nil"/>
                <w:right w:val="nil"/>
                <w:between w:val="nil"/>
              </w:pBdr>
              <w:spacing w:before="0" w:after="0" w:line="240" w:lineRule="auto"/>
              <w:rPr>
                <w:color w:val="000000"/>
                <w:sz w:val="20"/>
                <w:szCs w:val="20"/>
              </w:rPr>
            </w:pPr>
          </w:p>
        </w:tc>
        <w:tc>
          <w:tcPr>
            <w:tcW w:w="1815" w:type="dxa"/>
          </w:tcPr>
          <w:p w14:paraId="00000028" w14:textId="77777777" w:rsidR="00747E55" w:rsidRPr="00334829" w:rsidRDefault="008B2F26">
            <w:pPr>
              <w:spacing w:before="0" w:after="0" w:line="240" w:lineRule="auto"/>
              <w:rPr>
                <w:sz w:val="20"/>
                <w:szCs w:val="20"/>
              </w:rPr>
            </w:pPr>
            <w:r w:rsidRPr="00334829">
              <w:rPr>
                <w:sz w:val="20"/>
                <w:szCs w:val="20"/>
              </w:rPr>
              <w:t xml:space="preserve">RAID </w:t>
            </w:r>
          </w:p>
        </w:tc>
        <w:tc>
          <w:tcPr>
            <w:tcW w:w="8325" w:type="dxa"/>
          </w:tcPr>
          <w:p w14:paraId="00000029" w14:textId="77777777" w:rsidR="00747E55" w:rsidRPr="00334829" w:rsidRDefault="008B2F26">
            <w:pPr>
              <w:spacing w:before="0" w:after="0" w:line="240" w:lineRule="auto"/>
              <w:jc w:val="both"/>
              <w:rPr>
                <w:sz w:val="20"/>
                <w:szCs w:val="20"/>
              </w:rPr>
            </w:pPr>
            <w:r w:rsidRPr="00334829">
              <w:rPr>
                <w:sz w:val="20"/>
                <w:szCs w:val="20"/>
              </w:rPr>
              <w:t>Wsparcie dla RAID: 0, 1, 5, 6, 10</w:t>
            </w:r>
          </w:p>
          <w:p w14:paraId="0000002A" w14:textId="77777777" w:rsidR="00747E55" w:rsidRPr="00334829" w:rsidRDefault="00747E55">
            <w:pPr>
              <w:spacing w:before="0" w:after="0" w:line="240" w:lineRule="auto"/>
              <w:jc w:val="both"/>
              <w:rPr>
                <w:sz w:val="20"/>
                <w:szCs w:val="20"/>
              </w:rPr>
            </w:pPr>
          </w:p>
          <w:p w14:paraId="0000002B" w14:textId="77777777" w:rsidR="00747E55" w:rsidRPr="00334829" w:rsidRDefault="008B2F26">
            <w:pPr>
              <w:spacing w:before="0" w:after="0" w:line="240" w:lineRule="auto"/>
              <w:jc w:val="both"/>
              <w:rPr>
                <w:sz w:val="20"/>
                <w:szCs w:val="20"/>
              </w:rPr>
            </w:pPr>
            <w:r w:rsidRPr="00334829">
              <w:rPr>
                <w:sz w:val="20"/>
                <w:szCs w:val="20"/>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w:t>
            </w:r>
          </w:p>
          <w:p w14:paraId="0000002C" w14:textId="77777777" w:rsidR="00747E55" w:rsidRPr="00334829" w:rsidRDefault="00747E55">
            <w:pPr>
              <w:spacing w:before="0" w:after="0" w:line="240" w:lineRule="auto"/>
              <w:jc w:val="both"/>
              <w:rPr>
                <w:sz w:val="20"/>
                <w:szCs w:val="20"/>
              </w:rPr>
            </w:pPr>
          </w:p>
          <w:p w14:paraId="0000002D" w14:textId="77777777" w:rsidR="00747E55" w:rsidRPr="00334829" w:rsidRDefault="008B2F26">
            <w:pPr>
              <w:spacing w:before="0" w:after="0" w:line="240" w:lineRule="auto"/>
              <w:jc w:val="both"/>
              <w:rPr>
                <w:sz w:val="20"/>
                <w:szCs w:val="20"/>
              </w:rPr>
            </w:pPr>
            <w:r w:rsidRPr="00334829">
              <w:rPr>
                <w:sz w:val="20"/>
                <w:szCs w:val="20"/>
              </w:rPr>
              <w:t xml:space="preserve">Obliczanie sum kontrolnych (kodów parzystości) dla grup dyskowych RAID5 i RAID6 musi być realizowane w sposób sprzętowy przez dedykowany układ w macierzy. </w:t>
            </w:r>
          </w:p>
        </w:tc>
      </w:tr>
      <w:tr w:rsidR="00747E55" w:rsidRPr="00334829" w14:paraId="123D2728" w14:textId="77777777">
        <w:trPr>
          <w:trHeight w:val="440"/>
        </w:trPr>
        <w:tc>
          <w:tcPr>
            <w:tcW w:w="825" w:type="dxa"/>
          </w:tcPr>
          <w:p w14:paraId="0000002E" w14:textId="77777777" w:rsidR="00747E55" w:rsidRPr="00334829" w:rsidRDefault="00747E55">
            <w:pPr>
              <w:numPr>
                <w:ilvl w:val="0"/>
                <w:numId w:val="3"/>
              </w:numPr>
              <w:pBdr>
                <w:top w:val="nil"/>
                <w:left w:val="nil"/>
                <w:bottom w:val="nil"/>
                <w:right w:val="nil"/>
                <w:between w:val="nil"/>
              </w:pBdr>
              <w:spacing w:before="0" w:after="0" w:line="240" w:lineRule="auto"/>
              <w:rPr>
                <w:color w:val="000000"/>
                <w:sz w:val="20"/>
                <w:szCs w:val="20"/>
              </w:rPr>
            </w:pPr>
          </w:p>
        </w:tc>
        <w:tc>
          <w:tcPr>
            <w:tcW w:w="1815" w:type="dxa"/>
          </w:tcPr>
          <w:p w14:paraId="0000002F" w14:textId="77777777" w:rsidR="00747E55" w:rsidRPr="00334829" w:rsidRDefault="008B2F26">
            <w:pPr>
              <w:spacing w:before="0" w:after="0" w:line="240" w:lineRule="auto"/>
              <w:rPr>
                <w:sz w:val="20"/>
                <w:szCs w:val="20"/>
              </w:rPr>
            </w:pPr>
            <w:r w:rsidRPr="00334829">
              <w:rPr>
                <w:sz w:val="20"/>
                <w:szCs w:val="20"/>
              </w:rPr>
              <w:t xml:space="preserve">Obsługiwane protokoły </w:t>
            </w:r>
          </w:p>
        </w:tc>
        <w:tc>
          <w:tcPr>
            <w:tcW w:w="8325" w:type="dxa"/>
          </w:tcPr>
          <w:p w14:paraId="00000030" w14:textId="77777777" w:rsidR="00747E55" w:rsidRPr="00DE1F3A" w:rsidRDefault="008B2F26">
            <w:pPr>
              <w:spacing w:before="0" w:after="0" w:line="240" w:lineRule="auto"/>
              <w:jc w:val="both"/>
              <w:rPr>
                <w:sz w:val="20"/>
                <w:szCs w:val="20"/>
                <w:lang w:val="en-US"/>
              </w:rPr>
            </w:pPr>
            <w:r w:rsidRPr="00DE1F3A">
              <w:rPr>
                <w:sz w:val="20"/>
                <w:szCs w:val="20"/>
                <w:lang w:val="en-US"/>
              </w:rPr>
              <w:t>FC, iSCSI, SAS, S3, CIFS, NFS</w:t>
            </w:r>
          </w:p>
          <w:p w14:paraId="00000031" w14:textId="77777777" w:rsidR="00747E55" w:rsidRPr="00DE1F3A" w:rsidRDefault="00747E55">
            <w:pPr>
              <w:spacing w:before="0" w:after="0" w:line="240" w:lineRule="auto"/>
              <w:jc w:val="both"/>
              <w:rPr>
                <w:sz w:val="20"/>
                <w:szCs w:val="20"/>
                <w:lang w:val="en-US"/>
              </w:rPr>
            </w:pPr>
          </w:p>
          <w:p w14:paraId="00000035" w14:textId="77777777" w:rsidR="00747E55" w:rsidRPr="00DE1F3A" w:rsidRDefault="00747E55">
            <w:pPr>
              <w:spacing w:before="0" w:after="0" w:line="240" w:lineRule="auto"/>
              <w:jc w:val="both"/>
              <w:rPr>
                <w:sz w:val="20"/>
                <w:szCs w:val="20"/>
                <w:lang w:val="en-US"/>
              </w:rPr>
            </w:pPr>
          </w:p>
          <w:p w14:paraId="00000036" w14:textId="088A1334" w:rsidR="00747E55" w:rsidRPr="00334829" w:rsidRDefault="008B2F26">
            <w:pPr>
              <w:spacing w:before="0" w:after="0" w:line="240" w:lineRule="auto"/>
              <w:jc w:val="both"/>
              <w:rPr>
                <w:sz w:val="20"/>
                <w:szCs w:val="20"/>
              </w:rPr>
            </w:pPr>
            <w:r w:rsidRPr="00334829">
              <w:rPr>
                <w:sz w:val="20"/>
                <w:szCs w:val="20"/>
              </w:rPr>
              <w:t xml:space="preserve">Zamawiający dopuszcza zrealizowanie protokołu CIFS, NFS i S3 za pomocą zewnętrznego oprogramowania typu Software </w:t>
            </w:r>
            <w:r w:rsidR="003B72ED" w:rsidRPr="00334829">
              <w:rPr>
                <w:sz w:val="20"/>
                <w:szCs w:val="20"/>
              </w:rPr>
              <w:t>D</w:t>
            </w:r>
            <w:r w:rsidRPr="00334829">
              <w:rPr>
                <w:sz w:val="20"/>
                <w:szCs w:val="20"/>
              </w:rPr>
              <w:t>efine</w:t>
            </w:r>
            <w:r w:rsidR="003B72ED" w:rsidRPr="00334829">
              <w:rPr>
                <w:sz w:val="20"/>
                <w:szCs w:val="20"/>
              </w:rPr>
              <w:t>d</w:t>
            </w:r>
            <w:r w:rsidRPr="00334829">
              <w:rPr>
                <w:sz w:val="20"/>
                <w:szCs w:val="20"/>
              </w:rPr>
              <w:t xml:space="preserve"> Storage. </w:t>
            </w:r>
          </w:p>
          <w:p w14:paraId="00000037" w14:textId="77777777" w:rsidR="00747E55" w:rsidRPr="00334829" w:rsidRDefault="00747E55">
            <w:pPr>
              <w:spacing w:before="0" w:after="0" w:line="240" w:lineRule="auto"/>
              <w:jc w:val="both"/>
              <w:rPr>
                <w:sz w:val="20"/>
                <w:szCs w:val="20"/>
              </w:rPr>
            </w:pPr>
          </w:p>
        </w:tc>
      </w:tr>
      <w:tr w:rsidR="00747E55" w:rsidRPr="00334829" w14:paraId="4F13F7C1" w14:textId="77777777">
        <w:trPr>
          <w:trHeight w:val="440"/>
        </w:trPr>
        <w:tc>
          <w:tcPr>
            <w:tcW w:w="825" w:type="dxa"/>
          </w:tcPr>
          <w:p w14:paraId="00000038" w14:textId="77777777" w:rsidR="00747E55" w:rsidRPr="00334829" w:rsidRDefault="00747E55">
            <w:pPr>
              <w:numPr>
                <w:ilvl w:val="0"/>
                <w:numId w:val="3"/>
              </w:numPr>
              <w:pBdr>
                <w:top w:val="nil"/>
                <w:left w:val="nil"/>
                <w:bottom w:val="nil"/>
                <w:right w:val="nil"/>
                <w:between w:val="nil"/>
              </w:pBdr>
              <w:spacing w:before="0" w:after="0" w:line="240" w:lineRule="auto"/>
              <w:rPr>
                <w:color w:val="000000"/>
                <w:sz w:val="20"/>
                <w:szCs w:val="20"/>
              </w:rPr>
            </w:pPr>
          </w:p>
        </w:tc>
        <w:tc>
          <w:tcPr>
            <w:tcW w:w="1815" w:type="dxa"/>
          </w:tcPr>
          <w:p w14:paraId="00000039" w14:textId="77777777" w:rsidR="00747E55" w:rsidRPr="00334829" w:rsidRDefault="008B2F26">
            <w:pPr>
              <w:spacing w:before="0" w:after="0" w:line="240" w:lineRule="auto"/>
              <w:rPr>
                <w:sz w:val="20"/>
                <w:szCs w:val="20"/>
              </w:rPr>
            </w:pPr>
            <w:r w:rsidRPr="00334829">
              <w:rPr>
                <w:sz w:val="20"/>
                <w:szCs w:val="20"/>
              </w:rPr>
              <w:t xml:space="preserve">Inne wymagania </w:t>
            </w:r>
          </w:p>
        </w:tc>
        <w:tc>
          <w:tcPr>
            <w:tcW w:w="8325" w:type="dxa"/>
          </w:tcPr>
          <w:p w14:paraId="0000003A" w14:textId="77777777" w:rsidR="00747E55" w:rsidRPr="00334829" w:rsidRDefault="008B2F26">
            <w:pPr>
              <w:spacing w:before="0" w:after="0" w:line="240" w:lineRule="auto"/>
              <w:jc w:val="both"/>
              <w:rPr>
                <w:sz w:val="20"/>
                <w:szCs w:val="20"/>
              </w:rPr>
            </w:pPr>
            <w:r w:rsidRPr="00334829">
              <w:rPr>
                <w:sz w:val="20"/>
                <w:szCs w:val="20"/>
              </w:rPr>
              <w:t>Macierz musi posiadać wsparcie dla wielościeżkowości dla systemów:</w:t>
            </w:r>
          </w:p>
          <w:p w14:paraId="0000003B" w14:textId="77777777" w:rsidR="00747E55" w:rsidRPr="00DE1F3A" w:rsidRDefault="008B2F26">
            <w:pPr>
              <w:spacing w:before="0" w:after="0" w:line="240" w:lineRule="auto"/>
              <w:jc w:val="both"/>
              <w:rPr>
                <w:sz w:val="20"/>
                <w:szCs w:val="20"/>
                <w:highlight w:val="white"/>
                <w:lang w:val="en-US"/>
              </w:rPr>
            </w:pPr>
            <w:r w:rsidRPr="00DE1F3A">
              <w:rPr>
                <w:sz w:val="20"/>
                <w:szCs w:val="20"/>
                <w:highlight w:val="white"/>
                <w:lang w:val="en-US"/>
              </w:rPr>
              <w:t xml:space="preserve">Microsoft® Windows Server®, Red Hat Enterprise Linux®, Novell SUSE Linux Enterprise Server, VMware® ESX®, Oracle® Solaris, HP HP-UX, IBM AIX,  </w:t>
            </w:r>
          </w:p>
          <w:p w14:paraId="0000003C" w14:textId="77777777" w:rsidR="00747E55" w:rsidRPr="00DE1F3A" w:rsidRDefault="00747E55">
            <w:pPr>
              <w:spacing w:before="0" w:after="0" w:line="240" w:lineRule="auto"/>
              <w:jc w:val="both"/>
              <w:rPr>
                <w:sz w:val="20"/>
                <w:szCs w:val="20"/>
                <w:lang w:val="en-US"/>
              </w:rPr>
            </w:pPr>
          </w:p>
          <w:p w14:paraId="0000003D" w14:textId="77777777" w:rsidR="00747E55" w:rsidRPr="00334829" w:rsidRDefault="008B2F26">
            <w:pPr>
              <w:spacing w:before="0" w:after="0" w:line="240" w:lineRule="auto"/>
              <w:jc w:val="both"/>
              <w:rPr>
                <w:sz w:val="20"/>
                <w:szCs w:val="20"/>
              </w:rPr>
            </w:pPr>
            <w:r w:rsidRPr="00334829">
              <w:rPr>
                <w:sz w:val="20"/>
                <w:szCs w:val="20"/>
              </w:rPr>
              <w:t>Macierz musi posiadać funkcjonalność wykonywania snapshotów - minimum 128 per wolumen.</w:t>
            </w:r>
          </w:p>
          <w:p w14:paraId="0000003E" w14:textId="77777777" w:rsidR="00747E55" w:rsidRPr="00334829" w:rsidRDefault="00747E55">
            <w:pPr>
              <w:spacing w:before="0" w:after="0" w:line="240" w:lineRule="auto"/>
              <w:jc w:val="both"/>
              <w:rPr>
                <w:sz w:val="20"/>
                <w:szCs w:val="20"/>
              </w:rPr>
            </w:pPr>
          </w:p>
          <w:p w14:paraId="0000003F" w14:textId="46F2CD7C" w:rsidR="00747E55" w:rsidRPr="00334829" w:rsidRDefault="008B2F26">
            <w:pPr>
              <w:spacing w:before="0" w:after="0" w:line="240" w:lineRule="auto"/>
              <w:jc w:val="both"/>
              <w:rPr>
                <w:sz w:val="20"/>
                <w:szCs w:val="20"/>
              </w:rPr>
            </w:pPr>
            <w:r w:rsidRPr="00334829">
              <w:rPr>
                <w:sz w:val="20"/>
                <w:szCs w:val="20"/>
              </w:rPr>
              <w:lastRenderedPageBreak/>
              <w:t>Macierz musi posiadać funkcjonalność klonowania danych</w:t>
            </w:r>
            <w:r w:rsidR="00EC7C67">
              <w:rPr>
                <w:sz w:val="20"/>
                <w:szCs w:val="20"/>
              </w:rPr>
              <w:t>.</w:t>
            </w:r>
          </w:p>
          <w:p w14:paraId="00000040" w14:textId="77777777" w:rsidR="00747E55" w:rsidRPr="00334829" w:rsidRDefault="00747E55">
            <w:pPr>
              <w:spacing w:before="0" w:after="0" w:line="240" w:lineRule="auto"/>
              <w:jc w:val="both"/>
              <w:rPr>
                <w:sz w:val="20"/>
                <w:szCs w:val="20"/>
              </w:rPr>
            </w:pPr>
          </w:p>
          <w:p w14:paraId="0DCDD853" w14:textId="01081260" w:rsidR="00934B0D" w:rsidRPr="00334829" w:rsidRDefault="00334829">
            <w:pPr>
              <w:spacing w:before="0" w:after="0" w:line="240" w:lineRule="auto"/>
              <w:jc w:val="both"/>
              <w:rPr>
                <w:sz w:val="20"/>
                <w:szCs w:val="20"/>
              </w:rPr>
            </w:pPr>
            <w:r w:rsidRPr="00334829">
              <w:rPr>
                <w:sz w:val="20"/>
                <w:szCs w:val="20"/>
              </w:rPr>
              <w:t>Macierz musi posiadać funkcjonalność natywnej replikacji synchronicznej i asynchronicznej (mirroringu) z istniejącym systemem NetApp E2800 bez konieczności stosowania dodatkowych rozwiązań programowych lub sprzętowych innych producentów. Replikacja musi odbywać się z zachowaniem pełnej zgodności i wspólnego zarządzania z poziomu jednej konsoli producenta.</w:t>
            </w:r>
            <w:r w:rsidR="00572C82" w:rsidRPr="00334829">
              <w:rPr>
                <w:sz w:val="20"/>
                <w:szCs w:val="20"/>
              </w:rPr>
              <w:t xml:space="preserve"> </w:t>
            </w:r>
          </w:p>
          <w:p w14:paraId="00000042" w14:textId="77777777" w:rsidR="00747E55" w:rsidRPr="00334829" w:rsidRDefault="00747E55">
            <w:pPr>
              <w:spacing w:before="0" w:after="0" w:line="240" w:lineRule="auto"/>
              <w:jc w:val="both"/>
              <w:rPr>
                <w:sz w:val="20"/>
                <w:szCs w:val="20"/>
              </w:rPr>
            </w:pPr>
          </w:p>
          <w:p w14:paraId="00000043" w14:textId="77777777" w:rsidR="00747E55" w:rsidRPr="00334829" w:rsidRDefault="008B2F26">
            <w:pPr>
              <w:spacing w:before="0" w:after="0" w:line="240" w:lineRule="auto"/>
              <w:jc w:val="both"/>
              <w:rPr>
                <w:sz w:val="20"/>
                <w:szCs w:val="20"/>
              </w:rPr>
            </w:pPr>
            <w:r w:rsidRPr="00334829">
              <w:rPr>
                <w:sz w:val="20"/>
                <w:szCs w:val="20"/>
              </w:rPr>
              <w:t>Macierz musi posiadać możliwość tworzenia i prezentacji dysków logicznych (LUN) o pojemności większej niż zajmowana fizyczna przestrzeń dyskowa (ang. ThinProvisioning).</w:t>
            </w:r>
          </w:p>
          <w:p w14:paraId="00000044" w14:textId="77777777" w:rsidR="00747E55" w:rsidRPr="00334829" w:rsidRDefault="00747E55">
            <w:pPr>
              <w:spacing w:before="0" w:after="0" w:line="240" w:lineRule="auto"/>
              <w:jc w:val="both"/>
              <w:rPr>
                <w:sz w:val="20"/>
                <w:szCs w:val="20"/>
              </w:rPr>
            </w:pPr>
          </w:p>
          <w:p w14:paraId="00000045" w14:textId="77777777" w:rsidR="00747E55" w:rsidRPr="00334829" w:rsidRDefault="008B2F26">
            <w:pPr>
              <w:spacing w:before="0" w:after="0" w:line="240" w:lineRule="auto"/>
              <w:jc w:val="both"/>
              <w:rPr>
                <w:sz w:val="20"/>
                <w:szCs w:val="20"/>
              </w:rPr>
            </w:pPr>
            <w:r w:rsidRPr="00334829">
              <w:rPr>
                <w:sz w:val="20"/>
                <w:szCs w:val="20"/>
              </w:rPr>
              <w:t>Macierz musi umożliwiać dynamiczną zmianę rozmiaru wolumenów logicznych bez przerywania pracy macierzy i bez przerywania dostępu do danych znajdujących się na danym wolumenie.</w:t>
            </w:r>
          </w:p>
          <w:p w14:paraId="00000046" w14:textId="77777777" w:rsidR="00747E55" w:rsidRPr="00334829" w:rsidRDefault="00747E55">
            <w:pPr>
              <w:spacing w:before="0" w:after="0" w:line="240" w:lineRule="auto"/>
              <w:jc w:val="both"/>
              <w:rPr>
                <w:sz w:val="20"/>
                <w:szCs w:val="20"/>
              </w:rPr>
            </w:pPr>
          </w:p>
          <w:p w14:paraId="00000047" w14:textId="77777777" w:rsidR="00747E55" w:rsidRPr="00334829" w:rsidRDefault="008B2F26">
            <w:pPr>
              <w:spacing w:before="0" w:after="0" w:line="240" w:lineRule="auto"/>
              <w:jc w:val="both"/>
              <w:rPr>
                <w:sz w:val="20"/>
                <w:szCs w:val="20"/>
              </w:rPr>
            </w:pPr>
            <w:r w:rsidRPr="00334829">
              <w:rPr>
                <w:sz w:val="20"/>
                <w:szCs w:val="20"/>
              </w:rPr>
              <w:t xml:space="preserve">Macierz musi posiadać funkcjonalność partycjonowania macierzy na odseparowane od siebie logicznie systemy, na których rezydują osobne dyski logiczne dla heterogenicznych systemów. Licencja na macierzy musi pozwalać na wykonanie do 128 partycji. </w:t>
            </w:r>
          </w:p>
          <w:p w14:paraId="00000048" w14:textId="77777777" w:rsidR="00747E55" w:rsidRPr="00334829" w:rsidRDefault="00747E55">
            <w:pPr>
              <w:spacing w:before="0" w:after="0" w:line="240" w:lineRule="auto"/>
              <w:jc w:val="both"/>
              <w:rPr>
                <w:sz w:val="20"/>
                <w:szCs w:val="20"/>
              </w:rPr>
            </w:pPr>
          </w:p>
          <w:p w14:paraId="00000049" w14:textId="77777777" w:rsidR="00747E55" w:rsidRPr="00334829" w:rsidRDefault="008B2F26">
            <w:pPr>
              <w:spacing w:before="0" w:after="0" w:line="240" w:lineRule="auto"/>
              <w:jc w:val="both"/>
              <w:rPr>
                <w:sz w:val="20"/>
                <w:szCs w:val="20"/>
              </w:rPr>
            </w:pPr>
            <w:r w:rsidRPr="00334829">
              <w:rPr>
                <w:sz w:val="20"/>
                <w:szCs w:val="20"/>
              </w:rPr>
              <w:t xml:space="preserve">Macierz musi posiadać funkcjonalność automatycznego balansowania obciążenia kontrolerów macierzy przez przełączanie w trybie online volumenów logicznych pomiędzy nimi w zależności od wygenerowanego na nich ruchu. Musi istnieć możliwość wyłączenia tej funkcjonalności z poziomu interfejsu użytkownika. </w:t>
            </w:r>
          </w:p>
          <w:p w14:paraId="0000004A" w14:textId="77777777" w:rsidR="00747E55" w:rsidRPr="00334829" w:rsidRDefault="00747E55">
            <w:pPr>
              <w:spacing w:before="0" w:after="0" w:line="240" w:lineRule="auto"/>
              <w:jc w:val="both"/>
              <w:rPr>
                <w:sz w:val="20"/>
                <w:szCs w:val="20"/>
              </w:rPr>
            </w:pPr>
          </w:p>
          <w:p w14:paraId="0000004B" w14:textId="77777777" w:rsidR="00747E55" w:rsidRPr="00334829" w:rsidRDefault="008B2F26">
            <w:pPr>
              <w:spacing w:before="0" w:after="0" w:line="240" w:lineRule="auto"/>
              <w:jc w:val="both"/>
              <w:rPr>
                <w:sz w:val="20"/>
                <w:szCs w:val="20"/>
              </w:rPr>
            </w:pPr>
            <w:r w:rsidRPr="00334829">
              <w:rPr>
                <w:sz w:val="20"/>
                <w:szCs w:val="20"/>
              </w:rPr>
              <w:t>Macierz musi pozwalać na dynamiczną migrację pomiędzy poziomami RAID.</w:t>
            </w:r>
          </w:p>
          <w:p w14:paraId="0000004C" w14:textId="77777777" w:rsidR="00747E55" w:rsidRPr="00334829" w:rsidRDefault="00747E55">
            <w:pPr>
              <w:spacing w:before="0" w:after="0" w:line="240" w:lineRule="auto"/>
              <w:jc w:val="both"/>
              <w:rPr>
                <w:sz w:val="20"/>
                <w:szCs w:val="20"/>
              </w:rPr>
            </w:pPr>
          </w:p>
          <w:p w14:paraId="0000004D" w14:textId="77777777" w:rsidR="00747E55" w:rsidRPr="00334829" w:rsidRDefault="008B2F26">
            <w:pPr>
              <w:spacing w:before="0" w:after="0" w:line="240" w:lineRule="auto"/>
              <w:jc w:val="both"/>
              <w:rPr>
                <w:sz w:val="20"/>
                <w:szCs w:val="20"/>
              </w:rPr>
            </w:pPr>
            <w:r w:rsidRPr="00334829">
              <w:rPr>
                <w:sz w:val="20"/>
                <w:szCs w:val="20"/>
              </w:rPr>
              <w:t>Z poziomu graficznego interfejsu do zarządzania musi istnieć możliwość sprawdzenia stanu zużycia dysków SSD.</w:t>
            </w:r>
          </w:p>
          <w:p w14:paraId="0000004E" w14:textId="77777777" w:rsidR="00747E55" w:rsidRPr="00334829" w:rsidRDefault="00747E55">
            <w:pPr>
              <w:spacing w:before="0" w:after="0" w:line="240" w:lineRule="auto"/>
              <w:jc w:val="both"/>
              <w:rPr>
                <w:sz w:val="20"/>
                <w:szCs w:val="20"/>
              </w:rPr>
            </w:pPr>
          </w:p>
          <w:p w14:paraId="0000004F" w14:textId="20ACCA6E" w:rsidR="00747E55" w:rsidRPr="00334829" w:rsidRDefault="008B2F26">
            <w:pPr>
              <w:spacing w:before="0" w:after="0" w:line="240" w:lineRule="auto"/>
              <w:jc w:val="both"/>
              <w:rPr>
                <w:sz w:val="20"/>
                <w:szCs w:val="20"/>
              </w:rPr>
            </w:pPr>
            <w:r w:rsidRPr="00334829">
              <w:rPr>
                <w:sz w:val="20"/>
                <w:szCs w:val="20"/>
              </w:rPr>
              <w:t>Macierz musi posiadać oprogramowanie do monitoringu stanu dysków, które pozwala na identyfikowanie potencjalnie zagrożonych awarią dysków</w:t>
            </w:r>
            <w:r w:rsidR="00DE1F3A">
              <w:rPr>
                <w:sz w:val="20"/>
                <w:szCs w:val="20"/>
              </w:rPr>
              <w:t>.</w:t>
            </w:r>
          </w:p>
          <w:p w14:paraId="00000050" w14:textId="77777777" w:rsidR="00747E55" w:rsidRPr="00334829" w:rsidRDefault="00747E55">
            <w:pPr>
              <w:spacing w:before="0" w:after="0" w:line="240" w:lineRule="auto"/>
              <w:jc w:val="both"/>
              <w:rPr>
                <w:sz w:val="20"/>
                <w:szCs w:val="20"/>
              </w:rPr>
            </w:pPr>
          </w:p>
          <w:p w14:paraId="00000051" w14:textId="77777777" w:rsidR="00747E55" w:rsidRPr="00334829" w:rsidRDefault="008B2F26">
            <w:pPr>
              <w:spacing w:before="0" w:after="0" w:line="240" w:lineRule="auto"/>
              <w:jc w:val="both"/>
              <w:rPr>
                <w:sz w:val="20"/>
                <w:szCs w:val="20"/>
              </w:rPr>
            </w:pPr>
            <w:r w:rsidRPr="00334829">
              <w:rPr>
                <w:sz w:val="20"/>
                <w:szCs w:val="20"/>
              </w:rPr>
              <w:t xml:space="preserve">Wraz z system musi zostać dostarczone narzędzie do monitoringu macierzy w kontekście: </w:t>
            </w:r>
          </w:p>
          <w:p w14:paraId="00000052" w14:textId="77777777" w:rsidR="00747E55" w:rsidRPr="00334829" w:rsidRDefault="008B2F26">
            <w:pPr>
              <w:spacing w:before="0" w:after="0" w:line="240" w:lineRule="auto"/>
              <w:jc w:val="both"/>
              <w:rPr>
                <w:sz w:val="20"/>
                <w:szCs w:val="20"/>
              </w:rPr>
            </w:pPr>
            <w:r w:rsidRPr="00334829">
              <w:rPr>
                <w:sz w:val="20"/>
                <w:szCs w:val="20"/>
              </w:rPr>
              <w:t>- wydajności i opóźnień na wolumenach</w:t>
            </w:r>
          </w:p>
          <w:p w14:paraId="00000053" w14:textId="77777777" w:rsidR="00747E55" w:rsidRPr="00334829" w:rsidRDefault="008B2F26">
            <w:pPr>
              <w:spacing w:before="0" w:after="0" w:line="240" w:lineRule="auto"/>
              <w:jc w:val="both"/>
              <w:rPr>
                <w:sz w:val="20"/>
                <w:szCs w:val="20"/>
              </w:rPr>
            </w:pPr>
            <w:r w:rsidRPr="00334829">
              <w:rPr>
                <w:sz w:val="20"/>
                <w:szCs w:val="20"/>
              </w:rPr>
              <w:t>- wydajności I/Ops, MB/s</w:t>
            </w:r>
          </w:p>
          <w:p w14:paraId="00000054" w14:textId="77777777" w:rsidR="00747E55" w:rsidRPr="00334829" w:rsidRDefault="00747E55">
            <w:pPr>
              <w:spacing w:before="0" w:after="0" w:line="240" w:lineRule="auto"/>
              <w:jc w:val="both"/>
              <w:rPr>
                <w:sz w:val="20"/>
                <w:szCs w:val="20"/>
              </w:rPr>
            </w:pPr>
          </w:p>
          <w:p w14:paraId="00000055" w14:textId="77777777" w:rsidR="00747E55" w:rsidRPr="00334829" w:rsidRDefault="008B2F26">
            <w:pPr>
              <w:spacing w:before="0" w:after="0" w:line="240" w:lineRule="auto"/>
              <w:jc w:val="both"/>
              <w:rPr>
                <w:sz w:val="20"/>
                <w:szCs w:val="20"/>
              </w:rPr>
            </w:pPr>
            <w:r w:rsidRPr="00334829">
              <w:rPr>
                <w:sz w:val="20"/>
                <w:szCs w:val="20"/>
              </w:rPr>
              <w:t xml:space="preserve">Macierz musi posiadać możliwość integracji z Active Directory w zakresie definicji i mapowania grup i użytkowników pod kątem autentykacji. </w:t>
            </w:r>
          </w:p>
          <w:p w14:paraId="00000056" w14:textId="77777777" w:rsidR="00747E55" w:rsidRPr="00334829" w:rsidRDefault="00747E55">
            <w:pPr>
              <w:spacing w:before="0" w:after="0" w:line="240" w:lineRule="auto"/>
              <w:jc w:val="both"/>
              <w:rPr>
                <w:sz w:val="20"/>
                <w:szCs w:val="20"/>
              </w:rPr>
            </w:pPr>
          </w:p>
          <w:p w14:paraId="00000057" w14:textId="77777777" w:rsidR="00747E55" w:rsidRPr="00334829" w:rsidRDefault="008B2F26">
            <w:pPr>
              <w:spacing w:before="0" w:after="0" w:line="240" w:lineRule="auto"/>
              <w:jc w:val="both"/>
              <w:rPr>
                <w:sz w:val="20"/>
                <w:szCs w:val="20"/>
              </w:rPr>
            </w:pPr>
            <w:r w:rsidRPr="00334829">
              <w:rPr>
                <w:sz w:val="20"/>
                <w:szCs w:val="20"/>
              </w:rPr>
              <w:t xml:space="preserve"> Macierz musi posiadać oprogramowanie do aplikacji pozwalające na integrację z: </w:t>
            </w:r>
          </w:p>
          <w:p w14:paraId="00000058" w14:textId="77777777" w:rsidR="00747E55" w:rsidRPr="00DE1F3A" w:rsidRDefault="008B2F26">
            <w:pPr>
              <w:spacing w:before="0" w:after="0" w:line="240" w:lineRule="auto"/>
              <w:jc w:val="both"/>
              <w:rPr>
                <w:sz w:val="20"/>
                <w:szCs w:val="20"/>
                <w:lang w:val="en-US"/>
              </w:rPr>
            </w:pPr>
            <w:r w:rsidRPr="00DE1F3A">
              <w:rPr>
                <w:sz w:val="20"/>
                <w:szCs w:val="20"/>
                <w:lang w:val="en-US"/>
              </w:rPr>
              <w:t>- Vmware vCenter – provisioning i monitoring macierzy z widoku vCenter</w:t>
            </w:r>
          </w:p>
          <w:p w14:paraId="00000059" w14:textId="77777777" w:rsidR="00747E55" w:rsidRPr="00DE1F3A" w:rsidRDefault="008B2F26">
            <w:pPr>
              <w:spacing w:before="0" w:after="0" w:line="240" w:lineRule="auto"/>
              <w:jc w:val="both"/>
              <w:rPr>
                <w:sz w:val="20"/>
                <w:szCs w:val="20"/>
                <w:lang w:val="en-US"/>
              </w:rPr>
            </w:pPr>
            <w:r w:rsidRPr="00DE1F3A">
              <w:rPr>
                <w:sz w:val="20"/>
                <w:szCs w:val="20"/>
                <w:lang w:val="en-US"/>
              </w:rPr>
              <w:t>- VMware VASA</w:t>
            </w:r>
          </w:p>
          <w:p w14:paraId="0000005D" w14:textId="77777777" w:rsidR="00747E55" w:rsidRPr="00DE1F3A" w:rsidRDefault="008B2F26">
            <w:pPr>
              <w:spacing w:before="0" w:after="0" w:line="240" w:lineRule="auto"/>
              <w:jc w:val="both"/>
              <w:rPr>
                <w:sz w:val="20"/>
                <w:szCs w:val="20"/>
                <w:lang w:val="en-US"/>
              </w:rPr>
            </w:pPr>
            <w:r w:rsidRPr="00DE1F3A">
              <w:rPr>
                <w:sz w:val="20"/>
                <w:szCs w:val="20"/>
                <w:lang w:val="en-US"/>
              </w:rPr>
              <w:t xml:space="preserve">- Oracle Enterprise Manager – monitoring zasobów macierzowych </w:t>
            </w:r>
          </w:p>
          <w:p w14:paraId="0000005E" w14:textId="1FDE926A" w:rsidR="00747E55" w:rsidRPr="00334829" w:rsidRDefault="008B2F26">
            <w:pPr>
              <w:spacing w:before="0" w:after="0" w:line="240" w:lineRule="auto"/>
              <w:jc w:val="both"/>
              <w:rPr>
                <w:sz w:val="20"/>
                <w:szCs w:val="20"/>
              </w:rPr>
            </w:pPr>
            <w:r w:rsidRPr="00334829">
              <w:rPr>
                <w:sz w:val="20"/>
                <w:szCs w:val="20"/>
              </w:rPr>
              <w:t>Zamawiający dopuszcza zaoferowani</w:t>
            </w:r>
            <w:r w:rsidR="00DE1F3A">
              <w:rPr>
                <w:sz w:val="20"/>
                <w:szCs w:val="20"/>
              </w:rPr>
              <w:t>e</w:t>
            </w:r>
            <w:r w:rsidRPr="00334829">
              <w:rPr>
                <w:sz w:val="20"/>
                <w:szCs w:val="20"/>
              </w:rPr>
              <w:t xml:space="preserve"> zewnętrznego oprogramowania do zapewnienia integracji i monitoring</w:t>
            </w:r>
            <w:r w:rsidR="00DE1F3A">
              <w:rPr>
                <w:sz w:val="20"/>
                <w:szCs w:val="20"/>
              </w:rPr>
              <w:t>u</w:t>
            </w:r>
            <w:r w:rsidRPr="00334829">
              <w:rPr>
                <w:sz w:val="20"/>
                <w:szCs w:val="20"/>
              </w:rPr>
              <w:t xml:space="preserve"> w/w aplikacji np. w formie Software Define</w:t>
            </w:r>
            <w:r w:rsidR="003B72ED" w:rsidRPr="00334829">
              <w:rPr>
                <w:sz w:val="20"/>
                <w:szCs w:val="20"/>
              </w:rPr>
              <w:t>d</w:t>
            </w:r>
            <w:r w:rsidRPr="00334829">
              <w:rPr>
                <w:sz w:val="20"/>
                <w:szCs w:val="20"/>
              </w:rPr>
              <w:t xml:space="preserve"> storage. </w:t>
            </w:r>
          </w:p>
          <w:p w14:paraId="0000005F" w14:textId="77777777" w:rsidR="00747E55" w:rsidRPr="00334829" w:rsidRDefault="00747E55">
            <w:pPr>
              <w:spacing w:before="0" w:after="0" w:line="240" w:lineRule="auto"/>
              <w:jc w:val="both"/>
              <w:rPr>
                <w:sz w:val="20"/>
                <w:szCs w:val="20"/>
              </w:rPr>
            </w:pPr>
          </w:p>
          <w:p w14:paraId="00000060" w14:textId="77777777" w:rsidR="00747E55" w:rsidRPr="00334829" w:rsidRDefault="008B2F26">
            <w:pPr>
              <w:spacing w:before="0" w:after="0" w:line="240" w:lineRule="auto"/>
              <w:jc w:val="both"/>
              <w:rPr>
                <w:sz w:val="20"/>
                <w:szCs w:val="20"/>
              </w:rPr>
            </w:pPr>
            <w:r w:rsidRPr="00334829">
              <w:rPr>
                <w:sz w:val="20"/>
                <w:szCs w:val="20"/>
              </w:rPr>
              <w:t>Macierz musi pozwalać na szyfrowania danych, realizacja procesu szyfrowania i zarządzania kluczem może się odbywać przez kontrolery macierzy lub zewnętrzne urządzenia i oprogramowanie do zarządzania kluczami.</w:t>
            </w:r>
          </w:p>
          <w:p w14:paraId="00000061" w14:textId="77777777" w:rsidR="00747E55" w:rsidRPr="00334829" w:rsidRDefault="00747E55">
            <w:pPr>
              <w:spacing w:before="0" w:after="0" w:line="240" w:lineRule="auto"/>
              <w:jc w:val="both"/>
              <w:rPr>
                <w:sz w:val="20"/>
                <w:szCs w:val="20"/>
              </w:rPr>
            </w:pPr>
          </w:p>
          <w:p w14:paraId="00000062" w14:textId="77777777" w:rsidR="00747E55" w:rsidRPr="00334829" w:rsidRDefault="008B2F26">
            <w:pPr>
              <w:spacing w:before="0" w:after="0" w:line="240" w:lineRule="auto"/>
              <w:jc w:val="both"/>
              <w:rPr>
                <w:sz w:val="20"/>
                <w:szCs w:val="20"/>
              </w:rPr>
            </w:pPr>
            <w:r w:rsidRPr="00334829">
              <w:rPr>
                <w:sz w:val="20"/>
                <w:szCs w:val="20"/>
              </w:rPr>
              <w:t xml:space="preserve"> </w:t>
            </w:r>
          </w:p>
        </w:tc>
      </w:tr>
      <w:tr w:rsidR="00747E55" w:rsidRPr="00334829" w14:paraId="4C14993B" w14:textId="77777777">
        <w:trPr>
          <w:trHeight w:val="1399"/>
        </w:trPr>
        <w:tc>
          <w:tcPr>
            <w:tcW w:w="825" w:type="dxa"/>
          </w:tcPr>
          <w:p w14:paraId="00000063" w14:textId="77777777" w:rsidR="00747E55" w:rsidRPr="00334829" w:rsidRDefault="00747E55">
            <w:pPr>
              <w:numPr>
                <w:ilvl w:val="0"/>
                <w:numId w:val="3"/>
              </w:numPr>
              <w:pBdr>
                <w:top w:val="nil"/>
                <w:left w:val="nil"/>
                <w:bottom w:val="nil"/>
                <w:right w:val="nil"/>
                <w:between w:val="nil"/>
              </w:pBdr>
              <w:spacing w:before="0" w:after="0" w:line="240" w:lineRule="auto"/>
              <w:rPr>
                <w:color w:val="000000"/>
                <w:sz w:val="20"/>
                <w:szCs w:val="20"/>
              </w:rPr>
            </w:pPr>
          </w:p>
        </w:tc>
        <w:tc>
          <w:tcPr>
            <w:tcW w:w="1815" w:type="dxa"/>
          </w:tcPr>
          <w:p w14:paraId="00000064" w14:textId="77777777" w:rsidR="00747E55" w:rsidRPr="00334829" w:rsidRDefault="008B2F26">
            <w:pPr>
              <w:spacing w:before="0" w:after="0" w:line="240" w:lineRule="auto"/>
              <w:rPr>
                <w:sz w:val="20"/>
                <w:szCs w:val="20"/>
              </w:rPr>
            </w:pPr>
            <w:r w:rsidRPr="00334829">
              <w:rPr>
                <w:sz w:val="20"/>
                <w:szCs w:val="20"/>
              </w:rPr>
              <w:t xml:space="preserve">Gwarancja i serwis </w:t>
            </w:r>
          </w:p>
        </w:tc>
        <w:tc>
          <w:tcPr>
            <w:tcW w:w="8325" w:type="dxa"/>
          </w:tcPr>
          <w:p w14:paraId="00000065" w14:textId="289F24C9" w:rsidR="00747E55" w:rsidRPr="00334829" w:rsidRDefault="004D30C9">
            <w:pPr>
              <w:spacing w:before="0" w:after="0" w:line="240" w:lineRule="auto"/>
              <w:jc w:val="both"/>
              <w:rPr>
                <w:sz w:val="20"/>
                <w:szCs w:val="20"/>
              </w:rPr>
            </w:pPr>
            <w:r w:rsidRPr="00334829">
              <w:rPr>
                <w:sz w:val="20"/>
                <w:szCs w:val="20"/>
              </w:rPr>
              <w:t>5</w:t>
            </w:r>
            <w:r w:rsidR="00BD5C08" w:rsidRPr="00334829">
              <w:rPr>
                <w:sz w:val="20"/>
                <w:szCs w:val="20"/>
              </w:rPr>
              <w:t xml:space="preserve"> </w:t>
            </w:r>
            <w:r w:rsidR="008B2F26" w:rsidRPr="00334829">
              <w:rPr>
                <w:sz w:val="20"/>
                <w:szCs w:val="20"/>
              </w:rPr>
              <w:t xml:space="preserve">lat serwisu producenta zapewniającego dostawę podzespołu zapasowego na następny dzień roboczy od diagnozy problemu. Możliwość zgłaszania awarii poprzez linię telefoniczną lub inne systemy firmy serwisującej.  </w:t>
            </w:r>
          </w:p>
          <w:p w14:paraId="00000066" w14:textId="08E07958" w:rsidR="00747E55" w:rsidRPr="00334829" w:rsidRDefault="008B2F26">
            <w:pPr>
              <w:spacing w:before="0" w:after="0" w:line="240" w:lineRule="auto"/>
              <w:jc w:val="both"/>
              <w:rPr>
                <w:sz w:val="20"/>
                <w:szCs w:val="20"/>
              </w:rPr>
            </w:pPr>
            <w:r w:rsidRPr="00334829">
              <w:rPr>
                <w:sz w:val="20"/>
                <w:szCs w:val="20"/>
              </w:rPr>
              <w:t>Dostarczony system musi posiadać również</w:t>
            </w:r>
            <w:r w:rsidR="00417BFC" w:rsidRPr="00334829">
              <w:rPr>
                <w:sz w:val="20"/>
                <w:szCs w:val="20"/>
              </w:rPr>
              <w:t xml:space="preserve"> </w:t>
            </w:r>
            <w:r w:rsidR="004D30C9" w:rsidRPr="00334829">
              <w:rPr>
                <w:sz w:val="20"/>
                <w:szCs w:val="20"/>
              </w:rPr>
              <w:t>5</w:t>
            </w:r>
            <w:r w:rsidR="00417BFC" w:rsidRPr="00334829">
              <w:rPr>
                <w:sz w:val="20"/>
                <w:szCs w:val="20"/>
              </w:rPr>
              <w:t xml:space="preserve"> </w:t>
            </w:r>
            <w:r w:rsidRPr="00334829">
              <w:rPr>
                <w:sz w:val="20"/>
                <w:szCs w:val="20"/>
              </w:rPr>
              <w:t xml:space="preserve">lat </w:t>
            </w:r>
            <w:r w:rsidR="00537538" w:rsidRPr="00334829">
              <w:rPr>
                <w:sz w:val="20"/>
                <w:szCs w:val="20"/>
              </w:rPr>
              <w:t>serwisu (aktualizacje i wsparcie) producenta</w:t>
            </w:r>
            <w:r w:rsidRPr="00334829">
              <w:rPr>
                <w:sz w:val="20"/>
                <w:szCs w:val="20"/>
              </w:rPr>
              <w:t xml:space="preserve"> dla dostarczonego wraz z</w:t>
            </w:r>
            <w:r w:rsidR="00AD42B6" w:rsidRPr="00334829">
              <w:rPr>
                <w:sz w:val="20"/>
                <w:szCs w:val="20"/>
              </w:rPr>
              <w:t> </w:t>
            </w:r>
            <w:r w:rsidRPr="00334829">
              <w:rPr>
                <w:sz w:val="20"/>
                <w:szCs w:val="20"/>
              </w:rPr>
              <w:t>macierzą oprogramowania, dostęp do portalu serwisowego producenta, dostęp do wiedzy i informacji technicznych dotyczących oferowanego urządzenia.</w:t>
            </w:r>
          </w:p>
          <w:p w14:paraId="00000068" w14:textId="176FA47E" w:rsidR="00A95D10" w:rsidRPr="00334829" w:rsidRDefault="00417BFC" w:rsidP="0016319E">
            <w:pPr>
              <w:spacing w:before="0" w:after="0" w:line="240" w:lineRule="auto"/>
              <w:jc w:val="both"/>
              <w:rPr>
                <w:sz w:val="20"/>
                <w:szCs w:val="20"/>
              </w:rPr>
            </w:pPr>
            <w:r w:rsidRPr="00334829">
              <w:rPr>
                <w:sz w:val="20"/>
                <w:szCs w:val="20"/>
              </w:rPr>
              <w:t xml:space="preserve">Zepsute nośniki </w:t>
            </w:r>
            <w:r w:rsidR="00334829" w:rsidRPr="00334829">
              <w:rPr>
                <w:sz w:val="20"/>
                <w:szCs w:val="20"/>
              </w:rPr>
              <w:t>pozostają</w:t>
            </w:r>
            <w:r w:rsidRPr="00334829">
              <w:rPr>
                <w:sz w:val="20"/>
                <w:szCs w:val="20"/>
              </w:rPr>
              <w:t xml:space="preserve"> u zamawiającego</w:t>
            </w:r>
            <w:r w:rsidR="00DE1F3A">
              <w:rPr>
                <w:sz w:val="20"/>
                <w:szCs w:val="20"/>
              </w:rPr>
              <w:t>.</w:t>
            </w:r>
          </w:p>
        </w:tc>
      </w:tr>
    </w:tbl>
    <w:p w14:paraId="0000007F" w14:textId="77777777" w:rsidR="00747E55" w:rsidRDefault="00747E55">
      <w:pPr>
        <w:spacing w:before="0" w:after="0"/>
        <w:rPr>
          <w:sz w:val="20"/>
          <w:szCs w:val="20"/>
        </w:rPr>
      </w:pPr>
    </w:p>
    <w:sectPr w:rsidR="00747E5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61D99" w14:textId="77777777" w:rsidR="004A52CE" w:rsidRPr="00334829" w:rsidRDefault="004A52CE">
      <w:pPr>
        <w:spacing w:before="0" w:after="0" w:line="240" w:lineRule="auto"/>
      </w:pPr>
      <w:r w:rsidRPr="00334829">
        <w:separator/>
      </w:r>
    </w:p>
  </w:endnote>
  <w:endnote w:type="continuationSeparator" w:id="0">
    <w:p w14:paraId="615BB9E2" w14:textId="77777777" w:rsidR="004A52CE" w:rsidRPr="00334829" w:rsidRDefault="004A52CE">
      <w:pPr>
        <w:spacing w:before="0" w:after="0" w:line="240" w:lineRule="auto"/>
      </w:pPr>
      <w:r w:rsidRPr="003348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3" w14:textId="77777777" w:rsidR="00747E55" w:rsidRPr="00334829" w:rsidRDefault="008B2F26">
    <w:pPr>
      <w:pBdr>
        <w:top w:val="nil"/>
        <w:left w:val="nil"/>
        <w:bottom w:val="nil"/>
        <w:right w:val="nil"/>
        <w:between w:val="nil"/>
      </w:pBdr>
      <w:tabs>
        <w:tab w:val="center" w:pos="4536"/>
        <w:tab w:val="right" w:pos="9072"/>
      </w:tabs>
      <w:spacing w:line="240" w:lineRule="auto"/>
      <w:jc w:val="center"/>
      <w:rPr>
        <w:color w:val="000000"/>
      </w:rPr>
    </w:pPr>
    <w:r w:rsidRPr="00334829">
      <w:rPr>
        <w:color w:val="000000"/>
      </w:rPr>
      <w:fldChar w:fldCharType="begin"/>
    </w:r>
    <w:r w:rsidRPr="00334829">
      <w:rPr>
        <w:color w:val="000000"/>
      </w:rPr>
      <w:instrText>PAGE</w:instrText>
    </w:r>
    <w:r w:rsidRPr="00334829">
      <w:rPr>
        <w:color w:val="000000"/>
      </w:rPr>
      <w:fldChar w:fldCharType="separate"/>
    </w:r>
    <w:r w:rsidRPr="00334829">
      <w:rPr>
        <w:color w:val="000000"/>
      </w:rPr>
      <w:fldChar w:fldCharType="end"/>
    </w:r>
  </w:p>
  <w:p w14:paraId="00000084" w14:textId="77777777" w:rsidR="00747E55" w:rsidRPr="00334829" w:rsidRDefault="00747E55">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6" w14:textId="3ACC804D" w:rsidR="00747E55" w:rsidRPr="00334829" w:rsidRDefault="008B2F26">
    <w:pPr>
      <w:pBdr>
        <w:top w:val="nil"/>
        <w:left w:val="nil"/>
        <w:bottom w:val="nil"/>
        <w:right w:val="nil"/>
        <w:between w:val="nil"/>
      </w:pBdr>
      <w:tabs>
        <w:tab w:val="center" w:pos="4536"/>
        <w:tab w:val="right" w:pos="9072"/>
      </w:tabs>
      <w:spacing w:line="240" w:lineRule="auto"/>
      <w:jc w:val="center"/>
      <w:rPr>
        <w:color w:val="000000"/>
      </w:rPr>
    </w:pPr>
    <w:r w:rsidRPr="00334829">
      <w:rPr>
        <w:color w:val="000000"/>
      </w:rPr>
      <w:fldChar w:fldCharType="begin"/>
    </w:r>
    <w:r w:rsidRPr="00334829">
      <w:rPr>
        <w:color w:val="000000"/>
      </w:rPr>
      <w:instrText>PAGE</w:instrText>
    </w:r>
    <w:r w:rsidRPr="00334829">
      <w:rPr>
        <w:color w:val="000000"/>
      </w:rPr>
      <w:fldChar w:fldCharType="separate"/>
    </w:r>
    <w:r w:rsidR="003B72ED" w:rsidRPr="00334829">
      <w:rPr>
        <w:color w:val="000000"/>
      </w:rPr>
      <w:t>1</w:t>
    </w:r>
    <w:r w:rsidRPr="00334829">
      <w:rPr>
        <w:color w:val="000000"/>
      </w:rPr>
      <w:fldChar w:fldCharType="end"/>
    </w:r>
  </w:p>
  <w:p w14:paraId="00000087" w14:textId="77777777" w:rsidR="00747E55" w:rsidRPr="00334829" w:rsidRDefault="00747E55">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5" w14:textId="77777777" w:rsidR="00747E55" w:rsidRPr="00334829" w:rsidRDefault="00747E55">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CAC1" w14:textId="77777777" w:rsidR="004A52CE" w:rsidRPr="00334829" w:rsidRDefault="004A52CE">
      <w:pPr>
        <w:spacing w:before="0" w:after="0" w:line="240" w:lineRule="auto"/>
      </w:pPr>
      <w:r w:rsidRPr="00334829">
        <w:separator/>
      </w:r>
    </w:p>
  </w:footnote>
  <w:footnote w:type="continuationSeparator" w:id="0">
    <w:p w14:paraId="53A0F63D" w14:textId="77777777" w:rsidR="004A52CE" w:rsidRPr="00334829" w:rsidRDefault="004A52CE">
      <w:pPr>
        <w:spacing w:before="0" w:after="0" w:line="240" w:lineRule="auto"/>
      </w:pPr>
      <w:r w:rsidRPr="0033482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77777777" w:rsidR="00747E55" w:rsidRPr="00334829" w:rsidRDefault="00747E55">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0" w14:textId="77777777" w:rsidR="00747E55" w:rsidRPr="00334829" w:rsidRDefault="00747E55">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2" w14:textId="77777777" w:rsidR="00747E55" w:rsidRPr="00334829" w:rsidRDefault="00747E55">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11B8"/>
    <w:multiLevelType w:val="hybridMultilevel"/>
    <w:tmpl w:val="6FA0C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C42F7"/>
    <w:multiLevelType w:val="multilevel"/>
    <w:tmpl w:val="6C4C3B84"/>
    <w:lvl w:ilvl="0">
      <w:start w:val="1"/>
      <w:numFmt w:val="bullet"/>
      <w:pStyle w:val="NUMERUJ"/>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1221FC"/>
    <w:multiLevelType w:val="hybridMultilevel"/>
    <w:tmpl w:val="0F56C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599704B"/>
    <w:multiLevelType w:val="multilevel"/>
    <w:tmpl w:val="7CC2C3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66790E3E"/>
    <w:multiLevelType w:val="multilevel"/>
    <w:tmpl w:val="4A5C00F2"/>
    <w:lvl w:ilvl="0">
      <w:start w:val="1"/>
      <w:numFmt w:val="decimal"/>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373167"/>
    <w:multiLevelType w:val="hybridMultilevel"/>
    <w:tmpl w:val="08841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BA06E0F"/>
    <w:multiLevelType w:val="hybridMultilevel"/>
    <w:tmpl w:val="127C9D24"/>
    <w:lvl w:ilvl="0" w:tplc="04150001">
      <w:start w:val="1"/>
      <w:numFmt w:val="bullet"/>
      <w:lvlText w:val=""/>
      <w:lvlJc w:val="left"/>
      <w:pPr>
        <w:tabs>
          <w:tab w:val="num" w:pos="1500"/>
        </w:tabs>
        <w:ind w:left="1500" w:hanging="360"/>
      </w:pPr>
      <w:rPr>
        <w:rFonts w:ascii="Symbol" w:hAnsi="Symbol" w:hint="default"/>
      </w:rPr>
    </w:lvl>
    <w:lvl w:ilvl="1" w:tplc="04150003" w:tentative="1">
      <w:start w:val="1"/>
      <w:numFmt w:val="bullet"/>
      <w:lvlText w:val="o"/>
      <w:lvlJc w:val="left"/>
      <w:pPr>
        <w:tabs>
          <w:tab w:val="num" w:pos="2220"/>
        </w:tabs>
        <w:ind w:left="2220" w:hanging="360"/>
      </w:pPr>
      <w:rPr>
        <w:rFonts w:ascii="Courier New" w:hAnsi="Courier New" w:cs="Courier New" w:hint="default"/>
      </w:rPr>
    </w:lvl>
    <w:lvl w:ilvl="2" w:tplc="04150005" w:tentative="1">
      <w:start w:val="1"/>
      <w:numFmt w:val="bullet"/>
      <w:lvlText w:val=""/>
      <w:lvlJc w:val="left"/>
      <w:pPr>
        <w:tabs>
          <w:tab w:val="num" w:pos="2940"/>
        </w:tabs>
        <w:ind w:left="2940" w:hanging="360"/>
      </w:pPr>
      <w:rPr>
        <w:rFonts w:ascii="Wingdings" w:hAnsi="Wingdings" w:hint="default"/>
      </w:rPr>
    </w:lvl>
    <w:lvl w:ilvl="3" w:tplc="04150001" w:tentative="1">
      <w:start w:val="1"/>
      <w:numFmt w:val="bullet"/>
      <w:lvlText w:val=""/>
      <w:lvlJc w:val="left"/>
      <w:pPr>
        <w:tabs>
          <w:tab w:val="num" w:pos="3660"/>
        </w:tabs>
        <w:ind w:left="3660" w:hanging="360"/>
      </w:pPr>
      <w:rPr>
        <w:rFonts w:ascii="Symbol" w:hAnsi="Symbol" w:hint="default"/>
      </w:rPr>
    </w:lvl>
    <w:lvl w:ilvl="4" w:tplc="04150003" w:tentative="1">
      <w:start w:val="1"/>
      <w:numFmt w:val="bullet"/>
      <w:lvlText w:val="o"/>
      <w:lvlJc w:val="left"/>
      <w:pPr>
        <w:tabs>
          <w:tab w:val="num" w:pos="4380"/>
        </w:tabs>
        <w:ind w:left="4380" w:hanging="360"/>
      </w:pPr>
      <w:rPr>
        <w:rFonts w:ascii="Courier New" w:hAnsi="Courier New" w:cs="Courier New" w:hint="default"/>
      </w:rPr>
    </w:lvl>
    <w:lvl w:ilvl="5" w:tplc="04150005" w:tentative="1">
      <w:start w:val="1"/>
      <w:numFmt w:val="bullet"/>
      <w:lvlText w:val=""/>
      <w:lvlJc w:val="left"/>
      <w:pPr>
        <w:tabs>
          <w:tab w:val="num" w:pos="5100"/>
        </w:tabs>
        <w:ind w:left="5100" w:hanging="360"/>
      </w:pPr>
      <w:rPr>
        <w:rFonts w:ascii="Wingdings" w:hAnsi="Wingdings" w:hint="default"/>
      </w:rPr>
    </w:lvl>
    <w:lvl w:ilvl="6" w:tplc="04150001" w:tentative="1">
      <w:start w:val="1"/>
      <w:numFmt w:val="bullet"/>
      <w:lvlText w:val=""/>
      <w:lvlJc w:val="left"/>
      <w:pPr>
        <w:tabs>
          <w:tab w:val="num" w:pos="5820"/>
        </w:tabs>
        <w:ind w:left="5820" w:hanging="360"/>
      </w:pPr>
      <w:rPr>
        <w:rFonts w:ascii="Symbol" w:hAnsi="Symbol" w:hint="default"/>
      </w:rPr>
    </w:lvl>
    <w:lvl w:ilvl="7" w:tplc="04150003" w:tentative="1">
      <w:start w:val="1"/>
      <w:numFmt w:val="bullet"/>
      <w:lvlText w:val="o"/>
      <w:lvlJc w:val="left"/>
      <w:pPr>
        <w:tabs>
          <w:tab w:val="num" w:pos="6540"/>
        </w:tabs>
        <w:ind w:left="6540" w:hanging="360"/>
      </w:pPr>
      <w:rPr>
        <w:rFonts w:ascii="Courier New" w:hAnsi="Courier New" w:cs="Courier New" w:hint="default"/>
      </w:rPr>
    </w:lvl>
    <w:lvl w:ilvl="8" w:tplc="0415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7BFE0D95"/>
    <w:multiLevelType w:val="hybridMultilevel"/>
    <w:tmpl w:val="93EC3BD8"/>
    <w:lvl w:ilvl="0" w:tplc="4DB8137A">
      <w:start w:val="1"/>
      <w:numFmt w:val="decimal"/>
      <w:lvlText w:val="%1."/>
      <w:lvlJc w:val="left"/>
      <w:pPr>
        <w:tabs>
          <w:tab w:val="num" w:pos="720"/>
        </w:tabs>
        <w:ind w:left="720" w:hanging="360"/>
      </w:pPr>
      <w:rPr>
        <w:rFonts w:ascii="Arial" w:hAnsi="Arial" w:cs="Arial" w:hint="default"/>
        <w:color w:val="auto"/>
        <w:sz w:val="20"/>
        <w:szCs w:val="20"/>
      </w:rPr>
    </w:lvl>
    <w:lvl w:ilvl="1" w:tplc="04150001">
      <w:start w:val="1"/>
      <w:numFmt w:val="bullet"/>
      <w:lvlText w:val=""/>
      <w:lvlJc w:val="left"/>
      <w:pPr>
        <w:tabs>
          <w:tab w:val="num" w:pos="1440"/>
        </w:tabs>
        <w:ind w:left="1440" w:hanging="360"/>
      </w:pPr>
      <w:rPr>
        <w:rFonts w:ascii="Symbol" w:hAnsi="Symbol" w:hint="default"/>
        <w:color w:val="auto"/>
        <w:sz w:val="24"/>
      </w:rPr>
    </w:lvl>
    <w:lvl w:ilvl="2" w:tplc="925A2422">
      <w:start w:val="1"/>
      <w:numFmt w:val="bullet"/>
      <w:lvlText w:val="-"/>
      <w:lvlJc w:val="left"/>
      <w:pPr>
        <w:tabs>
          <w:tab w:val="num" w:pos="2340"/>
        </w:tabs>
        <w:ind w:left="2340" w:hanging="360"/>
      </w:pPr>
      <w:rPr>
        <w:rFonts w:ascii="Arial" w:eastAsia="Times New Roman" w:hAnsi="Arial" w:cs="Arial" w:hint="default"/>
        <w:color w:val="auto"/>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FC02F21"/>
    <w:multiLevelType w:val="hybridMultilevel"/>
    <w:tmpl w:val="66F64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8789678">
    <w:abstractNumId w:val="1"/>
  </w:num>
  <w:num w:numId="2" w16cid:durableId="410781552">
    <w:abstractNumId w:val="3"/>
  </w:num>
  <w:num w:numId="3" w16cid:durableId="1393583236">
    <w:abstractNumId w:val="4"/>
  </w:num>
  <w:num w:numId="4" w16cid:durableId="1368600213">
    <w:abstractNumId w:val="8"/>
  </w:num>
  <w:num w:numId="5" w16cid:durableId="478151814">
    <w:abstractNumId w:val="5"/>
  </w:num>
  <w:num w:numId="6" w16cid:durableId="1631400860">
    <w:abstractNumId w:val="7"/>
  </w:num>
  <w:num w:numId="7" w16cid:durableId="1160658143">
    <w:abstractNumId w:val="6"/>
  </w:num>
  <w:num w:numId="8" w16cid:durableId="1788234321">
    <w:abstractNumId w:val="0"/>
  </w:num>
  <w:num w:numId="9" w16cid:durableId="899898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55"/>
    <w:rsid w:val="0000580E"/>
    <w:rsid w:val="00022277"/>
    <w:rsid w:val="000338A5"/>
    <w:rsid w:val="00034768"/>
    <w:rsid w:val="000776CC"/>
    <w:rsid w:val="00080D39"/>
    <w:rsid w:val="000811D0"/>
    <w:rsid w:val="00083093"/>
    <w:rsid w:val="00096766"/>
    <w:rsid w:val="000B0118"/>
    <w:rsid w:val="000B765D"/>
    <w:rsid w:val="000C7797"/>
    <w:rsid w:val="000F1D03"/>
    <w:rsid w:val="000F310A"/>
    <w:rsid w:val="00100638"/>
    <w:rsid w:val="00116466"/>
    <w:rsid w:val="00116A15"/>
    <w:rsid w:val="00150251"/>
    <w:rsid w:val="0016319E"/>
    <w:rsid w:val="001B29E5"/>
    <w:rsid w:val="001C4BB0"/>
    <w:rsid w:val="001E47F0"/>
    <w:rsid w:val="001F0B06"/>
    <w:rsid w:val="001F5CA2"/>
    <w:rsid w:val="0020041C"/>
    <w:rsid w:val="00207EAA"/>
    <w:rsid w:val="00210B75"/>
    <w:rsid w:val="00216C8E"/>
    <w:rsid w:val="00225E74"/>
    <w:rsid w:val="0028412C"/>
    <w:rsid w:val="002979F1"/>
    <w:rsid w:val="002B2F3E"/>
    <w:rsid w:val="002D6215"/>
    <w:rsid w:val="00321C39"/>
    <w:rsid w:val="00327047"/>
    <w:rsid w:val="00327F07"/>
    <w:rsid w:val="00334829"/>
    <w:rsid w:val="00336908"/>
    <w:rsid w:val="00342D24"/>
    <w:rsid w:val="003469E9"/>
    <w:rsid w:val="00350F44"/>
    <w:rsid w:val="00395BFF"/>
    <w:rsid w:val="003B72ED"/>
    <w:rsid w:val="003E50C4"/>
    <w:rsid w:val="003F1E4F"/>
    <w:rsid w:val="003F237B"/>
    <w:rsid w:val="003F390D"/>
    <w:rsid w:val="00407F85"/>
    <w:rsid w:val="00417BFC"/>
    <w:rsid w:val="00453E22"/>
    <w:rsid w:val="004744C2"/>
    <w:rsid w:val="004754FD"/>
    <w:rsid w:val="00490475"/>
    <w:rsid w:val="00496DC0"/>
    <w:rsid w:val="004A52CE"/>
    <w:rsid w:val="004A699B"/>
    <w:rsid w:val="004B2425"/>
    <w:rsid w:val="004C655F"/>
    <w:rsid w:val="004D18BE"/>
    <w:rsid w:val="004D30C9"/>
    <w:rsid w:val="004D4993"/>
    <w:rsid w:val="004E5DFB"/>
    <w:rsid w:val="00536A01"/>
    <w:rsid w:val="00537538"/>
    <w:rsid w:val="00544C33"/>
    <w:rsid w:val="0056088B"/>
    <w:rsid w:val="005624E6"/>
    <w:rsid w:val="00564066"/>
    <w:rsid w:val="005650E3"/>
    <w:rsid w:val="005664FD"/>
    <w:rsid w:val="00572855"/>
    <w:rsid w:val="00572C82"/>
    <w:rsid w:val="005959C0"/>
    <w:rsid w:val="005B3149"/>
    <w:rsid w:val="005B769B"/>
    <w:rsid w:val="005D58E5"/>
    <w:rsid w:val="005D6CE1"/>
    <w:rsid w:val="005E13BA"/>
    <w:rsid w:val="005F5785"/>
    <w:rsid w:val="006001A8"/>
    <w:rsid w:val="00602638"/>
    <w:rsid w:val="0061243A"/>
    <w:rsid w:val="00615E7D"/>
    <w:rsid w:val="0066235C"/>
    <w:rsid w:val="006662B5"/>
    <w:rsid w:val="006727FF"/>
    <w:rsid w:val="00681A66"/>
    <w:rsid w:val="006828BB"/>
    <w:rsid w:val="00684272"/>
    <w:rsid w:val="0069319C"/>
    <w:rsid w:val="006A3C59"/>
    <w:rsid w:val="006A7281"/>
    <w:rsid w:val="006B57B0"/>
    <w:rsid w:val="006C64F4"/>
    <w:rsid w:val="006D0B15"/>
    <w:rsid w:val="007373D0"/>
    <w:rsid w:val="00747E55"/>
    <w:rsid w:val="00757F8F"/>
    <w:rsid w:val="00781BC5"/>
    <w:rsid w:val="007862D4"/>
    <w:rsid w:val="0078737D"/>
    <w:rsid w:val="00797B7B"/>
    <w:rsid w:val="007A06E9"/>
    <w:rsid w:val="007E6351"/>
    <w:rsid w:val="00811999"/>
    <w:rsid w:val="008208A2"/>
    <w:rsid w:val="008219A9"/>
    <w:rsid w:val="00837CC3"/>
    <w:rsid w:val="0086085B"/>
    <w:rsid w:val="008B2F26"/>
    <w:rsid w:val="008C607F"/>
    <w:rsid w:val="009166C0"/>
    <w:rsid w:val="00934B0D"/>
    <w:rsid w:val="00936F19"/>
    <w:rsid w:val="00987D9D"/>
    <w:rsid w:val="009A3983"/>
    <w:rsid w:val="009A4276"/>
    <w:rsid w:val="009C482D"/>
    <w:rsid w:val="00A02371"/>
    <w:rsid w:val="00A12052"/>
    <w:rsid w:val="00A34475"/>
    <w:rsid w:val="00A606DF"/>
    <w:rsid w:val="00A61CC4"/>
    <w:rsid w:val="00A65D04"/>
    <w:rsid w:val="00A95D10"/>
    <w:rsid w:val="00A95E10"/>
    <w:rsid w:val="00AA45C9"/>
    <w:rsid w:val="00AC382B"/>
    <w:rsid w:val="00AD42B6"/>
    <w:rsid w:val="00B1575F"/>
    <w:rsid w:val="00B23F64"/>
    <w:rsid w:val="00B25F35"/>
    <w:rsid w:val="00B80556"/>
    <w:rsid w:val="00B80F8F"/>
    <w:rsid w:val="00B831FA"/>
    <w:rsid w:val="00BC3E6F"/>
    <w:rsid w:val="00BC5244"/>
    <w:rsid w:val="00BD1CA8"/>
    <w:rsid w:val="00BD5C08"/>
    <w:rsid w:val="00BE1868"/>
    <w:rsid w:val="00BF12A0"/>
    <w:rsid w:val="00C0795B"/>
    <w:rsid w:val="00C275F6"/>
    <w:rsid w:val="00C36BEE"/>
    <w:rsid w:val="00C40E0E"/>
    <w:rsid w:val="00C5117E"/>
    <w:rsid w:val="00C56397"/>
    <w:rsid w:val="00C77E5A"/>
    <w:rsid w:val="00CA0172"/>
    <w:rsid w:val="00CC5ED3"/>
    <w:rsid w:val="00CC6A7B"/>
    <w:rsid w:val="00D042C1"/>
    <w:rsid w:val="00D456A5"/>
    <w:rsid w:val="00DB418A"/>
    <w:rsid w:val="00DE1F3A"/>
    <w:rsid w:val="00E00FF7"/>
    <w:rsid w:val="00EB1444"/>
    <w:rsid w:val="00EB1528"/>
    <w:rsid w:val="00EC7C67"/>
    <w:rsid w:val="00ED3292"/>
    <w:rsid w:val="00F22D46"/>
    <w:rsid w:val="00F269E1"/>
    <w:rsid w:val="00F36B3D"/>
    <w:rsid w:val="00F427D5"/>
    <w:rsid w:val="00F62097"/>
    <w:rsid w:val="00F63449"/>
    <w:rsid w:val="00F865EF"/>
    <w:rsid w:val="00F90772"/>
    <w:rsid w:val="00FA5DE2"/>
    <w:rsid w:val="00FC261E"/>
    <w:rsid w:val="00FF14FD"/>
    <w:rsid w:val="00FF2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B75DC"/>
  <w15:docId w15:val="{FC52558A-0F00-4F45-B58A-CEA2F29E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AA3"/>
    <w:pPr>
      <w:spacing w:line="300" w:lineRule="atLeast"/>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B67919"/>
    <w:pPr>
      <w:keepNext/>
      <w:spacing w:before="240" w:after="60"/>
      <w:outlineLvl w:val="1"/>
    </w:pPr>
    <w:rPr>
      <w:b/>
      <w:bCs/>
      <w:i/>
      <w:iCs/>
      <w:sz w:val="28"/>
      <w:szCs w:val="28"/>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outlineLvl w:val="3"/>
    </w:pPr>
    <w:rPr>
      <w:b/>
    </w:rPr>
  </w:style>
  <w:style w:type="paragraph" w:styleId="Nagwek5">
    <w:name w:val="heading 5"/>
    <w:basedOn w:val="Normalny"/>
    <w:next w:val="Normalny"/>
    <w:uiPriority w:val="9"/>
    <w:semiHidden/>
    <w:unhideWhenUsed/>
    <w:qFormat/>
    <w:pPr>
      <w:keepNext/>
      <w:keepLines/>
      <w:spacing w:before="220"/>
      <w:outlineLvl w:val="4"/>
    </w:pPr>
    <w:rPr>
      <w:b/>
      <w:sz w:val="22"/>
      <w:szCs w:val="22"/>
    </w:rPr>
  </w:style>
  <w:style w:type="paragraph" w:styleId="Nagwek6">
    <w:name w:val="heading 6"/>
    <w:basedOn w:val="Normalny"/>
    <w:next w:val="Normalny"/>
    <w:uiPriority w:val="9"/>
    <w:semiHidden/>
    <w:unhideWhenUsed/>
    <w:qFormat/>
    <w:pPr>
      <w:keepNext/>
      <w:keepLines/>
      <w:spacing w:before="20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customStyle="1" w:styleId="NUMERUJ">
    <w:name w:val="NUMERUJ"/>
    <w:basedOn w:val="Normalny"/>
    <w:rsid w:val="003D3AA3"/>
    <w:pPr>
      <w:numPr>
        <w:numId w:val="1"/>
      </w:numPr>
    </w:pPr>
    <w:rPr>
      <w:sz w:val="20"/>
      <w:szCs w:val="20"/>
    </w:rPr>
  </w:style>
  <w:style w:type="paragraph" w:styleId="NormalnyWeb">
    <w:name w:val="Normal (Web)"/>
    <w:basedOn w:val="Normalny"/>
    <w:unhideWhenUsed/>
    <w:rsid w:val="003D3AA3"/>
    <w:pPr>
      <w:spacing w:before="100" w:beforeAutospacing="1" w:after="100" w:afterAutospacing="1" w:line="240" w:lineRule="auto"/>
    </w:pPr>
    <w:rPr>
      <w:rFonts w:ascii="Times New Roman" w:eastAsia="Calibri" w:hAnsi="Times New Roman"/>
    </w:rPr>
  </w:style>
  <w:style w:type="paragraph" w:styleId="Stopka">
    <w:name w:val="footer"/>
    <w:basedOn w:val="Normalny"/>
    <w:rsid w:val="00FD31BA"/>
    <w:pPr>
      <w:tabs>
        <w:tab w:val="center" w:pos="4536"/>
        <w:tab w:val="right" w:pos="9072"/>
      </w:tabs>
    </w:pPr>
  </w:style>
  <w:style w:type="character" w:styleId="Numerstrony">
    <w:name w:val="page number"/>
    <w:basedOn w:val="Domylnaczcionkaakapitu"/>
    <w:rsid w:val="00FD31BA"/>
  </w:style>
  <w:style w:type="paragraph" w:styleId="Nagwek">
    <w:name w:val="header"/>
    <w:basedOn w:val="Normalny"/>
    <w:rsid w:val="00FD31BA"/>
    <w:pPr>
      <w:tabs>
        <w:tab w:val="center" w:pos="4536"/>
        <w:tab w:val="right" w:pos="9072"/>
      </w:tabs>
    </w:pPr>
  </w:style>
  <w:style w:type="paragraph" w:styleId="Tekstpodstawowy2">
    <w:name w:val="Body Text 2"/>
    <w:basedOn w:val="Normalny"/>
    <w:link w:val="Tekstpodstawowy2Znak"/>
    <w:rsid w:val="00FE41F3"/>
    <w:pPr>
      <w:overflowPunct w:val="0"/>
      <w:autoSpaceDE w:val="0"/>
      <w:autoSpaceDN w:val="0"/>
      <w:adjustRightInd w:val="0"/>
      <w:spacing w:before="0" w:after="0" w:line="240" w:lineRule="auto"/>
      <w:textAlignment w:val="baseline"/>
    </w:pPr>
    <w:rPr>
      <w:rFonts w:ascii="Times New Roman" w:hAnsi="Times New Roman"/>
      <w:b/>
      <w:sz w:val="20"/>
      <w:szCs w:val="20"/>
    </w:rPr>
  </w:style>
  <w:style w:type="character" w:customStyle="1" w:styleId="Tekstpodstawowy2Znak">
    <w:name w:val="Tekst podstawowy 2 Znak"/>
    <w:basedOn w:val="Domylnaczcionkaakapitu"/>
    <w:link w:val="Tekstpodstawowy2"/>
    <w:rsid w:val="00FE41F3"/>
    <w:rPr>
      <w:b/>
    </w:rPr>
  </w:style>
  <w:style w:type="paragraph" w:customStyle="1" w:styleId="ZnakZnak">
    <w:name w:val="Znak Znak"/>
    <w:basedOn w:val="Normalny"/>
    <w:rsid w:val="00896EA6"/>
    <w:pPr>
      <w:suppressAutoHyphens/>
      <w:spacing w:before="0" w:after="0" w:line="360" w:lineRule="auto"/>
      <w:jc w:val="both"/>
    </w:pPr>
    <w:rPr>
      <w:rFonts w:ascii="Verdana" w:hAnsi="Verdana"/>
      <w:sz w:val="20"/>
      <w:szCs w:val="20"/>
      <w:lang w:eastAsia="ar-SA"/>
    </w:rPr>
  </w:style>
  <w:style w:type="paragraph" w:styleId="Akapitzlist">
    <w:name w:val="List Paragraph"/>
    <w:basedOn w:val="Normalny"/>
    <w:uiPriority w:val="34"/>
    <w:qFormat/>
    <w:rsid w:val="008F2592"/>
    <w:pPr>
      <w:spacing w:before="0" w:after="0" w:line="240" w:lineRule="auto"/>
      <w:ind w:left="720"/>
      <w:contextualSpacing/>
    </w:pPr>
    <w:rPr>
      <w:rFonts w:ascii="Times New Roman" w:hAnsi="Times New Roman"/>
      <w:lang w:val="en-US" w:eastAsia="en-US"/>
    </w:rPr>
  </w:style>
  <w:style w:type="character" w:styleId="Odwoaniedokomentarza">
    <w:name w:val="annotation reference"/>
    <w:basedOn w:val="Domylnaczcionkaakapitu"/>
    <w:semiHidden/>
    <w:unhideWhenUsed/>
    <w:rsid w:val="00920A0F"/>
    <w:rPr>
      <w:sz w:val="16"/>
      <w:szCs w:val="16"/>
    </w:rPr>
  </w:style>
  <w:style w:type="paragraph" w:styleId="Tekstkomentarza">
    <w:name w:val="annotation text"/>
    <w:basedOn w:val="Normalny"/>
    <w:link w:val="TekstkomentarzaZnak"/>
    <w:semiHidden/>
    <w:unhideWhenUsed/>
    <w:rsid w:val="00920A0F"/>
    <w:pPr>
      <w:spacing w:line="240" w:lineRule="auto"/>
    </w:pPr>
    <w:rPr>
      <w:sz w:val="20"/>
      <w:szCs w:val="20"/>
    </w:rPr>
  </w:style>
  <w:style w:type="character" w:customStyle="1" w:styleId="TekstkomentarzaZnak">
    <w:name w:val="Tekst komentarza Znak"/>
    <w:basedOn w:val="Domylnaczcionkaakapitu"/>
    <w:link w:val="Tekstkomentarza"/>
    <w:semiHidden/>
    <w:rsid w:val="00920A0F"/>
    <w:rPr>
      <w:rFonts w:ascii="Arial" w:hAnsi="Arial"/>
    </w:rPr>
  </w:style>
  <w:style w:type="paragraph" w:styleId="Tematkomentarza">
    <w:name w:val="annotation subject"/>
    <w:basedOn w:val="Tekstkomentarza"/>
    <w:next w:val="Tekstkomentarza"/>
    <w:link w:val="TematkomentarzaZnak"/>
    <w:semiHidden/>
    <w:unhideWhenUsed/>
    <w:rsid w:val="00920A0F"/>
    <w:rPr>
      <w:b/>
      <w:bCs/>
    </w:rPr>
  </w:style>
  <w:style w:type="character" w:customStyle="1" w:styleId="TematkomentarzaZnak">
    <w:name w:val="Temat komentarza Znak"/>
    <w:basedOn w:val="TekstkomentarzaZnak"/>
    <w:link w:val="Tematkomentarza"/>
    <w:semiHidden/>
    <w:rsid w:val="00920A0F"/>
    <w:rPr>
      <w:rFonts w:ascii="Arial" w:hAnsi="Arial"/>
      <w:b/>
      <w:bCs/>
    </w:rPr>
  </w:style>
  <w:style w:type="paragraph" w:styleId="Tekstdymka">
    <w:name w:val="Balloon Text"/>
    <w:basedOn w:val="Normalny"/>
    <w:link w:val="TekstdymkaZnak"/>
    <w:semiHidden/>
    <w:unhideWhenUsed/>
    <w:rsid w:val="00920A0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920A0F"/>
    <w:rPr>
      <w:rFonts w:ascii="Tahoma" w:hAnsi="Tahoma" w:cs="Tahoma"/>
      <w:sz w:val="16"/>
      <w:szCs w:val="16"/>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gQLKay/Px5VsdWVoj4OPgAKBTg==">AMUW2mVYpnOAD3ZDJaOgxhMbrsatz8Qgz5dEYph6+Q3fZ1MgCKdrvpHfKo1f6v/ZAGZNhAZDO8uEWzZB4tXTb0kjXpAwV3YovynM6PKnugwf7iMLPEyBhik=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805</Words>
  <Characters>4830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Grzesiak</dc:creator>
  <cp:lastModifiedBy>Sylwia Bielawska</cp:lastModifiedBy>
  <cp:revision>4</cp:revision>
  <cp:lastPrinted>2025-09-04T10:50:00Z</cp:lastPrinted>
  <dcterms:created xsi:type="dcterms:W3CDTF">2025-09-04T08:24:00Z</dcterms:created>
  <dcterms:modified xsi:type="dcterms:W3CDTF">2025-09-04T12:52:00Z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iteId">
    <vt:lpwstr>0beb0c35-9cbb-4feb-99e5-589e415c7944</vt:lpwstr>
  </property>
  <property fmtid="{D5CDD505-2E9C-101B-9397-08002B2CF9AE}" pid="4" name="MSIP_Label_879e395e-e3b5-421f-8616-70a10f9451af_SetDate">
    <vt:lpwstr>2019-01-21T08:41:34.6968594Z</vt:lpwstr>
  </property>
  <property fmtid="{D5CDD505-2E9C-101B-9397-08002B2CF9AE}" pid="5" name="MSIP_Label_879e395e-e3b5-421f-8616-70a10f9451af_Name">
    <vt:lpwstr>Public</vt:lpwstr>
  </property>
  <property fmtid="{D5CDD505-2E9C-101B-9397-08002B2CF9AE}" pid="6" name="MSIP_Label_879e395e-e3b5-421f-8616-70a10f9451af_Extended_MSFT_Method">
    <vt:lpwstr>Automatic</vt:lpwstr>
  </property>
  <property fmtid="{D5CDD505-2E9C-101B-9397-08002B2CF9AE}" pid="7" name="Sensitivity">
    <vt:lpwstr>Public</vt:lpwstr>
  </property>
</Properties>
</file>