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9BCA" w14:textId="7F356848" w:rsidR="00784223" w:rsidRDefault="000A773E" w:rsidP="00A24291">
      <w:pPr>
        <w:jc w:val="center"/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OPIS PRZEDMIOTU ZAMÓWIENIA</w:t>
      </w:r>
    </w:p>
    <w:tbl>
      <w:tblPr>
        <w:tblpPr w:leftFromText="142" w:rightFromText="142" w:vertAnchor="text" w:tblpX="-918" w:tblpY="1"/>
        <w:tblW w:w="5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4"/>
        <w:gridCol w:w="3150"/>
        <w:gridCol w:w="5937"/>
      </w:tblGrid>
      <w:tr w:rsidR="008C7C9A" w:rsidRPr="008C7C9A" w14:paraId="772955AD" w14:textId="77777777" w:rsidTr="00784223">
        <w:trPr>
          <w:cantSplit/>
          <w:trHeight w:val="283"/>
        </w:trPr>
        <w:tc>
          <w:tcPr>
            <w:tcW w:w="832" w:type="pct"/>
            <w:shd w:val="clear" w:color="auto" w:fill="auto"/>
            <w:vAlign w:val="center"/>
          </w:tcPr>
          <w:p w14:paraId="302A40C3" w14:textId="77777777" w:rsidR="0006748B" w:rsidRPr="008C7C9A" w:rsidRDefault="0006748B" w:rsidP="0078422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highlight w:val="black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Nazwa</w:t>
            </w:r>
          </w:p>
        </w:tc>
        <w:tc>
          <w:tcPr>
            <w:tcW w:w="4168" w:type="pct"/>
            <w:gridSpan w:val="2"/>
            <w:shd w:val="clear" w:color="auto" w:fill="auto"/>
            <w:vAlign w:val="center"/>
          </w:tcPr>
          <w:p w14:paraId="60033C33" w14:textId="77777777" w:rsidR="0006748B" w:rsidRPr="008C7C9A" w:rsidRDefault="0006748B" w:rsidP="00784223">
            <w:pPr>
              <w:shd w:val="clear" w:color="auto" w:fill="FFFFFF" w:themeFill="background1"/>
              <w:ind w:left="-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Wymagane minimalne parametry techniczne </w:t>
            </w:r>
          </w:p>
        </w:tc>
      </w:tr>
      <w:tr w:rsidR="008C7C9A" w:rsidRPr="008C7C9A" w14:paraId="11954DED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07C8D64C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Typ</w:t>
            </w:r>
          </w:p>
        </w:tc>
        <w:tc>
          <w:tcPr>
            <w:tcW w:w="4168" w:type="pct"/>
            <w:gridSpan w:val="2"/>
          </w:tcPr>
          <w:p w14:paraId="3ED1CC3E" w14:textId="53C242B0" w:rsidR="00247787" w:rsidRPr="008C7C9A" w:rsidRDefault="0006748B" w:rsidP="0024778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Komputer stacjonarny. Typu All in One, komputer 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fabrycznie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wbudowany w 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obudowę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monitor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 W ofercie wymagane jest podanie modelu producenta komputera.</w:t>
            </w:r>
            <w:r w:rsidR="0024778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K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>omputer, w którym wszystkie</w:t>
            </w:r>
            <w:r w:rsidR="002477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>podzespoły komputerowe (oraz połączenia między nimi) takie jak np.</w:t>
            </w:r>
            <w:r w:rsidR="0075469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>płyta główna,</w:t>
            </w:r>
            <w:r w:rsidR="002477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>procesor, układ graficzny czy głośniki zostały umieszczone w jednej obudowie z</w:t>
            </w:r>
            <w:r w:rsidR="002477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>ekranem w taki sposób, który uniemożliwia odłączenie komputera od monitora,</w:t>
            </w:r>
            <w:r w:rsidR="002477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247787" w:rsidRPr="002477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posiadający wspólny system zasilania. </w:t>
            </w:r>
            <w:r w:rsidR="00247787" w:rsidRPr="006B2D8E">
              <w:rPr>
                <w:rFonts w:asciiTheme="minorHAnsi" w:hAnsiTheme="minorHAnsi" w:cstheme="minorHAnsi"/>
                <w:color w:val="000000" w:themeColor="text1"/>
                <w:sz w:val="20"/>
              </w:rPr>
              <w:t>Wymagane jest zaoferowanie jednolitego modelu zawierającego jednolite wersje komponentów dla całej puli urządzeń objętych zamówieniem.</w:t>
            </w:r>
          </w:p>
        </w:tc>
      </w:tr>
      <w:tr w:rsidR="008C7C9A" w:rsidRPr="008C7C9A" w14:paraId="05FBDA1F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27DB4A0D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Zastosowanie</w:t>
            </w:r>
          </w:p>
        </w:tc>
        <w:tc>
          <w:tcPr>
            <w:tcW w:w="4168" w:type="pct"/>
            <w:gridSpan w:val="2"/>
          </w:tcPr>
          <w:p w14:paraId="22B49D1B" w14:textId="1B771E8B" w:rsidR="0006748B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Komputer będzie wykorzystywany dla potrzeb aplikacji biurowych, aplikacji edukacyjnych, aplikacji obliczeniowych, dostępu do Internetu oraz poczty elektronicznej, jako lokalna baza danych</w:t>
            </w:r>
            <w:r w:rsidR="006C1E8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</w:tc>
      </w:tr>
      <w:tr w:rsidR="008C7C9A" w:rsidRPr="008C7C9A" w14:paraId="65B66A69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29EB8B6A" w14:textId="0EE4575C" w:rsidR="0006748B" w:rsidRPr="008C7C9A" w:rsidRDefault="009D59C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Procesor</w:t>
            </w:r>
          </w:p>
        </w:tc>
        <w:tc>
          <w:tcPr>
            <w:tcW w:w="4168" w:type="pct"/>
            <w:gridSpan w:val="2"/>
          </w:tcPr>
          <w:p w14:paraId="679BF943" w14:textId="7CAFB204" w:rsidR="00737CF6" w:rsidRPr="008C7C9A" w:rsidRDefault="00C066D6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Procesor wielordzeniowy</w:t>
            </w:r>
            <w:r w:rsidR="00982E32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 o wysokiej wydajności</w:t>
            </w:r>
            <w:r w:rsidR="009D59C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, zaprojektowany do pracy </w:t>
            </w:r>
            <w:r w:rsidR="00982E32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wielozadaniowej oraz obsługi aplikacji wymagających dużej mocy obliczeniowej</w:t>
            </w:r>
            <w:r w:rsidR="00A2277B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 </w:t>
            </w: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osiągający w teście PassMark CPU Mark wynik min. </w:t>
            </w:r>
            <w:r w:rsidR="00A2277B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20000</w:t>
            </w: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 punktów według wyników ze strony </w:t>
            </w:r>
            <w:hyperlink r:id="rId8" w:history="1">
              <w:r w:rsidRPr="00A2277B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  <w:lang w:eastAsia="en-US"/>
                </w:rPr>
                <w:t>https://www.cpubenchmark.net</w:t>
              </w:r>
            </w:hyperlink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8C7C9A" w:rsidRPr="008C7C9A" w14:paraId="09561E20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221D2DA4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Pamięć RAM</w:t>
            </w:r>
          </w:p>
        </w:tc>
        <w:tc>
          <w:tcPr>
            <w:tcW w:w="4168" w:type="pct"/>
            <w:gridSpan w:val="2"/>
          </w:tcPr>
          <w:p w14:paraId="67E2F822" w14:textId="51312840" w:rsidR="00311E7F" w:rsidRPr="008C7C9A" w:rsidRDefault="009D59C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16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GB</w:t>
            </w:r>
            <w:r w:rsidR="000D0862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, 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możliwość rozbudowy do 64GB, </w:t>
            </w:r>
            <w:r w:rsidR="00701E18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dwa sloty pamięci, </w:t>
            </w:r>
            <w:r w:rsidR="00B1795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jeden slot wolny </w:t>
            </w:r>
          </w:p>
        </w:tc>
      </w:tr>
      <w:tr w:rsidR="008C7C9A" w:rsidRPr="008C7C9A" w14:paraId="4A0EE57B" w14:textId="77777777" w:rsidTr="0059689E">
        <w:trPr>
          <w:cantSplit/>
          <w:trHeight w:val="419"/>
        </w:trPr>
        <w:tc>
          <w:tcPr>
            <w:tcW w:w="832" w:type="pct"/>
            <w:shd w:val="clear" w:color="auto" w:fill="auto"/>
          </w:tcPr>
          <w:p w14:paraId="47CE6912" w14:textId="77777777" w:rsidR="0006748B" w:rsidRPr="008C7C9A" w:rsidRDefault="00B14809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</w:t>
            </w:r>
            <w:r w:rsidR="0006748B"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ami</w:t>
            </w: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ęć</w:t>
            </w:r>
            <w:r w:rsidR="0006748B"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masow</w:t>
            </w: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</w:t>
            </w:r>
          </w:p>
        </w:tc>
        <w:tc>
          <w:tcPr>
            <w:tcW w:w="4168" w:type="pct"/>
            <w:gridSpan w:val="2"/>
          </w:tcPr>
          <w:p w14:paraId="54A1C143" w14:textId="6DE129D7" w:rsidR="00B14809" w:rsidRPr="00A2277B" w:rsidRDefault="00636EBD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Min. </w:t>
            </w:r>
            <w:r w:rsidR="00B14809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256GB SSD NVMe</w:t>
            </w:r>
            <w:r w:rsidR="00982E32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zapewniający szybki zapis i odczyt danych</w:t>
            </w:r>
          </w:p>
          <w:p w14:paraId="376C1FDB" w14:textId="063A7B22" w:rsidR="00633C7F" w:rsidRPr="00A2277B" w:rsidRDefault="00701E18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instalacji dodatkowego dysku twardego 2,5”</w:t>
            </w:r>
          </w:p>
        </w:tc>
      </w:tr>
      <w:tr w:rsidR="008C7C9A" w:rsidRPr="008C7C9A" w14:paraId="136BDD10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3886801E" w14:textId="0B4A50D3" w:rsidR="0006748B" w:rsidRPr="008C7C9A" w:rsidRDefault="009D59C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Karta graficzna</w:t>
            </w:r>
          </w:p>
        </w:tc>
        <w:tc>
          <w:tcPr>
            <w:tcW w:w="4168" w:type="pct"/>
            <w:gridSpan w:val="2"/>
          </w:tcPr>
          <w:p w14:paraId="30504B77" w14:textId="41E412B7" w:rsidR="00BC18AD" w:rsidRPr="008C7C9A" w:rsidRDefault="009D59C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 w:eastAsia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Zintegrowana karta graficzna.</w:t>
            </w:r>
          </w:p>
        </w:tc>
      </w:tr>
      <w:tr w:rsidR="008C7C9A" w:rsidRPr="008C7C9A" w14:paraId="02DBF0B6" w14:textId="77777777" w:rsidTr="00784223">
        <w:trPr>
          <w:cantSplit/>
          <w:trHeight w:val="204"/>
        </w:trPr>
        <w:tc>
          <w:tcPr>
            <w:tcW w:w="832" w:type="pct"/>
            <w:vMerge w:val="restart"/>
            <w:shd w:val="clear" w:color="auto" w:fill="auto"/>
          </w:tcPr>
          <w:p w14:paraId="2C0C7792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Matryca</w:t>
            </w:r>
          </w:p>
        </w:tc>
        <w:tc>
          <w:tcPr>
            <w:tcW w:w="1445" w:type="pct"/>
          </w:tcPr>
          <w:p w14:paraId="7553DDD3" w14:textId="74AB8DA3" w:rsidR="0006748B" w:rsidRPr="008C7C9A" w:rsidRDefault="00C826FE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Rodzaj matrycy</w:t>
            </w:r>
          </w:p>
        </w:tc>
        <w:tc>
          <w:tcPr>
            <w:tcW w:w="2723" w:type="pct"/>
          </w:tcPr>
          <w:p w14:paraId="2D71D3ED" w14:textId="082F38BE" w:rsidR="0006748B" w:rsidRPr="008C7C9A" w:rsidRDefault="00C826FE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Matryca matowa IPS min. 23,8”</w:t>
            </w:r>
            <w:r w:rsidR="009D59C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</w:tc>
      </w:tr>
      <w:tr w:rsidR="008C7C9A" w:rsidRPr="008C7C9A" w14:paraId="17C0394E" w14:textId="77777777" w:rsidTr="00784223">
        <w:trPr>
          <w:cantSplit/>
          <w:trHeight w:val="255"/>
        </w:trPr>
        <w:tc>
          <w:tcPr>
            <w:tcW w:w="832" w:type="pct"/>
            <w:vMerge/>
            <w:shd w:val="clear" w:color="auto" w:fill="auto"/>
          </w:tcPr>
          <w:p w14:paraId="4AAE1FC7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45" w:type="pct"/>
          </w:tcPr>
          <w:p w14:paraId="1505EED6" w14:textId="77777777" w:rsidR="0006748B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Rozdzielczość</w:t>
            </w:r>
          </w:p>
        </w:tc>
        <w:tc>
          <w:tcPr>
            <w:tcW w:w="2723" w:type="pct"/>
          </w:tcPr>
          <w:p w14:paraId="1FA8548C" w14:textId="750228B9" w:rsidR="0006748B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FHD (</w:t>
            </w:r>
            <w:r w:rsidR="002C6EE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min.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1920x1080)</w:t>
            </w:r>
          </w:p>
        </w:tc>
      </w:tr>
      <w:tr w:rsidR="008C7C9A" w:rsidRPr="008C7C9A" w14:paraId="46AC3E3A" w14:textId="77777777" w:rsidTr="00784223">
        <w:trPr>
          <w:cantSplit/>
          <w:trHeight w:val="250"/>
        </w:trPr>
        <w:tc>
          <w:tcPr>
            <w:tcW w:w="832" w:type="pct"/>
            <w:vMerge/>
            <w:shd w:val="clear" w:color="auto" w:fill="auto"/>
          </w:tcPr>
          <w:p w14:paraId="446332E3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45" w:type="pct"/>
          </w:tcPr>
          <w:p w14:paraId="2CA4083B" w14:textId="77777777" w:rsidR="0006748B" w:rsidRPr="00A2277B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Jasność </w:t>
            </w:r>
            <w:r w:rsidR="00B14809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typowa</w:t>
            </w:r>
          </w:p>
        </w:tc>
        <w:tc>
          <w:tcPr>
            <w:tcW w:w="2723" w:type="pct"/>
          </w:tcPr>
          <w:p w14:paraId="2BDC8A23" w14:textId="328F3CE5" w:rsidR="00E12267" w:rsidRPr="00A2277B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min. 250 cd/m²</w:t>
            </w:r>
          </w:p>
        </w:tc>
      </w:tr>
      <w:tr w:rsidR="008C7C9A" w:rsidRPr="008C7C9A" w14:paraId="4C0877B5" w14:textId="77777777" w:rsidTr="00784223">
        <w:trPr>
          <w:cantSplit/>
          <w:trHeight w:val="250"/>
        </w:trPr>
        <w:tc>
          <w:tcPr>
            <w:tcW w:w="832" w:type="pct"/>
            <w:vMerge/>
            <w:shd w:val="clear" w:color="auto" w:fill="auto"/>
          </w:tcPr>
          <w:p w14:paraId="58DC04EB" w14:textId="77777777" w:rsidR="007160AC" w:rsidRPr="008C7C9A" w:rsidRDefault="007160AC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45" w:type="pct"/>
          </w:tcPr>
          <w:p w14:paraId="0BB5A103" w14:textId="77777777" w:rsidR="007160AC" w:rsidRPr="00A2277B" w:rsidRDefault="007160AC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Kontrast</w:t>
            </w:r>
            <w:r w:rsidR="0024528D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typowy</w:t>
            </w:r>
          </w:p>
        </w:tc>
        <w:tc>
          <w:tcPr>
            <w:tcW w:w="2723" w:type="pct"/>
          </w:tcPr>
          <w:p w14:paraId="51EEAA4F" w14:textId="26F35FA8" w:rsidR="007160AC" w:rsidRPr="00A2277B" w:rsidRDefault="00F241F3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10</w:t>
            </w:r>
            <w:r w:rsidR="00B14809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00</w:t>
            </w:r>
            <w:r w:rsidR="007160AC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:1</w:t>
            </w:r>
            <w:r w:rsidR="004C05F2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8C7C9A" w:rsidRPr="008C7C9A" w14:paraId="68EF2390" w14:textId="77777777" w:rsidTr="00784223">
        <w:trPr>
          <w:cantSplit/>
          <w:trHeight w:val="255"/>
        </w:trPr>
        <w:tc>
          <w:tcPr>
            <w:tcW w:w="832" w:type="pct"/>
            <w:vMerge/>
            <w:shd w:val="clear" w:color="auto" w:fill="auto"/>
          </w:tcPr>
          <w:p w14:paraId="7BE540E1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45" w:type="pct"/>
          </w:tcPr>
          <w:p w14:paraId="24F6E7AF" w14:textId="0089A12C" w:rsidR="0006748B" w:rsidRPr="00A2277B" w:rsidRDefault="00A510BF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Odw</w:t>
            </w:r>
            <w:r w:rsidR="00243EAB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zorowanie koloru</w:t>
            </w:r>
            <w:r w:rsidR="00B14809"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23" w:type="pct"/>
          </w:tcPr>
          <w:p w14:paraId="2F22E670" w14:textId="3BB510D3" w:rsidR="0006748B" w:rsidRPr="00A2277B" w:rsidRDefault="00F241F3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A2277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99% sRGB</w:t>
            </w:r>
          </w:p>
        </w:tc>
      </w:tr>
      <w:tr w:rsidR="008C7C9A" w:rsidRPr="008C7C9A" w14:paraId="0A21C163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5D2CC30C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Wyposażenie multimedialne</w:t>
            </w:r>
          </w:p>
        </w:tc>
        <w:tc>
          <w:tcPr>
            <w:tcW w:w="4168" w:type="pct"/>
            <w:gridSpan w:val="2"/>
          </w:tcPr>
          <w:p w14:paraId="5EF578A2" w14:textId="21CE6DDB" w:rsidR="00AB2C24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Karta dźwiękowa zintegrowana z płytą główną, </w:t>
            </w:r>
            <w:r w:rsidRP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</w:t>
            </w:r>
            <w:r w:rsidR="00553A6E" w:rsidRP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y </w:t>
            </w:r>
            <w:r w:rsidR="006C666D" w:rsidRP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głośnik</w:t>
            </w:r>
            <w:r w:rsidR="004B68BF" w:rsidRP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="004B68B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Wbudowana w obudowę matrycy cyfrowa kamera </w:t>
            </w:r>
            <w:r w:rsidR="00B668B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min. </w:t>
            </w:r>
            <w:r w:rsidR="008F5DD3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2,0 MP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 </w:t>
            </w:r>
            <w:r w:rsidR="00B1480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diodą LED informującą użytkownika o pracy</w:t>
            </w:r>
            <w:r w:rsidR="000C036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. </w:t>
            </w:r>
            <w:r w:rsidR="00545335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Umieszczona w górnej części komputera, c</w:t>
            </w:r>
            <w:r w:rsidR="002132C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howana w obudowie</w:t>
            </w:r>
            <w:r w:rsidR="00545335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lub z możliwością fizycznego zabezpieczenia/wyłączenia np. zasłona, przycisk</w:t>
            </w:r>
            <w:r w:rsidR="002132C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</w:t>
            </w:r>
            <w:r w:rsidR="002132C7" w:rsidRPr="00982E32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nie dopuszcza się kamer przekręcanych)</w:t>
            </w:r>
            <w:r w:rsidR="00982E32" w:rsidRPr="00982E32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. </w:t>
            </w:r>
            <w:r w:rsidR="00AB2C2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</w:t>
            </w:r>
            <w:r w:rsid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y </w:t>
            </w:r>
            <w:r w:rsidR="00AB2C24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mikrofon</w:t>
            </w:r>
            <w:r w:rsidR="00553A6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</w:tc>
      </w:tr>
      <w:tr w:rsidR="008C7C9A" w:rsidRPr="008C7C9A" w14:paraId="19CC8233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4C04A0F8" w14:textId="77777777" w:rsidR="0006748B" w:rsidRPr="008C7C9A" w:rsidRDefault="0006748B" w:rsidP="00784223">
            <w:pPr>
              <w:ind w:left="360" w:hanging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Obudowa</w:t>
            </w:r>
          </w:p>
        </w:tc>
        <w:tc>
          <w:tcPr>
            <w:tcW w:w="4168" w:type="pct"/>
            <w:gridSpan w:val="2"/>
          </w:tcPr>
          <w:p w14:paraId="68A03829" w14:textId="3DF7337F" w:rsidR="002132C7" w:rsidRPr="00F01D68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Typu All-in-One zintegrowana z monitorem min. 2</w:t>
            </w:r>
            <w:r w:rsidR="00495A0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3.8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”.</w:t>
            </w:r>
            <w:r w:rsidR="00965CE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Nie dopuszcza się prowadzenia przewodów poza obręb obudowy komputera</w:t>
            </w:r>
            <w:r w:rsidR="00F92C5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</w:t>
            </w:r>
            <w:r w:rsidR="0047491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nie dotyczy kabla zasilającego</w:t>
            </w:r>
            <w:r w:rsidR="00F92C5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</w:t>
            </w:r>
            <w:r w:rsidR="00965CE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Obudowa musi umożliwiać zastosowanie zabezpieczenia fizycznego w postaci linki metalowej</w:t>
            </w:r>
            <w:r w:rsidR="002132C7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="00DD580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2132C7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Komputer</w:t>
            </w:r>
            <w:r w:rsidR="002132C7" w:rsidRPr="00F01D6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musi posiadać możliwość zainstalowania przy wykorzystaniu systemu montażowego VESA 100</w:t>
            </w:r>
            <w:r w:rsidR="00435E67" w:rsidRPr="00F01D6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x100</w:t>
            </w:r>
            <w:r w:rsidR="002132C7" w:rsidRPr="00F01D6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</w:p>
          <w:p w14:paraId="71C8F68C" w14:textId="3C55BF05" w:rsidR="00082928" w:rsidRPr="009E4EF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Wbudowany </w:t>
            </w:r>
            <w:r w:rsidR="00766A38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 obudowie 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wizualny system diagnostyczny, służący do sygnalizowania i diagnozowania problemów z komputerem i jego komponentami</w:t>
            </w:r>
            <w:r w:rsidR="00813391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w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szczególności</w:t>
            </w:r>
            <w:r w:rsidR="00766A38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: </w:t>
            </w:r>
            <w:r w:rsidR="00813391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uszkodzenia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lub brak</w:t>
            </w:r>
            <w:r w:rsidR="00813391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pamięci RAM</w:t>
            </w:r>
            <w:r w:rsidR="00C54B4E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="00813391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uszkodzenia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płyty głównej</w:t>
            </w:r>
            <w:r w:rsidR="00C54B4E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="00813391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awarii</w:t>
            </w: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procesora</w:t>
            </w:r>
            <w:r w:rsidR="00C54B4E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="00766A38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System musi zapisywać logi zdarzeń w BIOS.</w:t>
            </w:r>
            <w:r w:rsidR="00082928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766A38"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45A744D5" w14:textId="77777777" w:rsidR="0006748B" w:rsidRPr="009E4EF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Każdy komputer musi być oznaczony niepowtarzalnym numerem seryjnym umieszonym na obudowie, oraz wpisanym na stałe w BIOS.</w:t>
            </w:r>
          </w:p>
          <w:p w14:paraId="42D35A4F" w14:textId="7FF3F344" w:rsidR="00495A09" w:rsidRPr="008C7C9A" w:rsidRDefault="00495A0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9E4EF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Dołączona dedykowana dla oferowanego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modelu komputera AIO podstawa</w:t>
            </w:r>
            <w:r w:rsidR="00EA26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producenta komputera musi umożliwiać:</w:t>
            </w:r>
          </w:p>
          <w:p w14:paraId="413C7366" w14:textId="4C33BD0C" w:rsidR="00495A09" w:rsidRPr="008C7C9A" w:rsidRDefault="00495A0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Regulację pochyłu pionowego</w:t>
            </w:r>
            <w:r w:rsidR="00DD580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zakresie od -5 do 30 stopni.</w:t>
            </w:r>
          </w:p>
          <w:p w14:paraId="4723DCB5" w14:textId="1285E3E4" w:rsidR="00495A09" w:rsidRPr="008C7C9A" w:rsidRDefault="00495A0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Regulację wysokości w zakresie minimum 10 cm.</w:t>
            </w:r>
          </w:p>
          <w:p w14:paraId="57653136" w14:textId="4AD89F5D" w:rsidR="007843BC" w:rsidRDefault="00495A0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Obrót podstawy w zakresie 90 stopni (45 lewo/45 prawo)</w:t>
            </w:r>
          </w:p>
          <w:p w14:paraId="3933F861" w14:textId="41CEB9D2" w:rsidR="00965CEA" w:rsidRPr="008C7C9A" w:rsidRDefault="00965CE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</w:tr>
      <w:tr w:rsidR="008C7C9A" w:rsidRPr="008C7C9A" w14:paraId="37F504E7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37FFD75E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Bezpieczeństwo</w:t>
            </w:r>
          </w:p>
        </w:tc>
        <w:tc>
          <w:tcPr>
            <w:tcW w:w="4168" w:type="pct"/>
            <w:gridSpan w:val="2"/>
          </w:tcPr>
          <w:p w14:paraId="6CF5FD20" w14:textId="65AF559E" w:rsidR="00813391" w:rsidRPr="008C7C9A" w:rsidRDefault="00D906AC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</w:t>
            </w:r>
            <w:r w:rsidR="0081339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łyt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="0081339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główn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="0081339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zawierająca</w:t>
            </w:r>
            <w:r w:rsidR="0081339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  <w:r w:rsidR="00ED44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33FC9582" w14:textId="4C9C4A22" w:rsidR="00D906AC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Zaimplementowany w BIOS system diagnostyczny z graficznym interfejsem użytkownika dostępny z poziomu 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BIOS lub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szybkiego menu boot’owania, umożliwiający przetestowanie w celu wykrycia usterki zainstalowanych komponentów bez konieczności uruchamiania systemu operacyjnego. System musi </w:t>
            </w:r>
            <w:r w:rsidR="00495A0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zach</w:t>
            </w:r>
            <w:r w:rsidR="00163EE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ow</w:t>
            </w:r>
            <w:r w:rsidR="00495A0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ać</w:t>
            </w:r>
            <w:r w:rsidR="00E31D8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wszystkie 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swoje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funkcjonalności</w:t>
            </w:r>
            <w:r w:rsidR="00495A0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(w tym także interfejs graficzny)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przypadku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: 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braku dysku, uszkodzenia dysku, sformatowania dysku, braku dostępu do sieci, </w:t>
            </w:r>
            <w:r w:rsidR="00DD00E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nternetu. Nie dopuszcza się stosowania wewnętrznych i zewnętrznych urządzeń w celu uzyskania funkcjonalności systemu diagnostycznego</w:t>
            </w:r>
            <w:r w:rsidR="00DB211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jak również pobierania oprogramowania i instalacji na dysku czy w BIOS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. </w:t>
            </w:r>
          </w:p>
          <w:p w14:paraId="7C0070D1" w14:textId="31887D40" w:rsidR="0006748B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lastRenderedPageBreak/>
              <w:t>Czujnik o</w:t>
            </w:r>
            <w:r w:rsidR="00766A38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twarcia obudowy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="00766A38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musi zbierać zdarzenia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i zapisywać je w BIOS</w:t>
            </w:r>
            <w:r w:rsidR="00A2429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</w:tc>
      </w:tr>
      <w:tr w:rsidR="008C7C9A" w:rsidRPr="008C7C9A" w14:paraId="1EDAA5C0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4DC9D8E0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Wirtualizacja</w:t>
            </w:r>
          </w:p>
        </w:tc>
        <w:tc>
          <w:tcPr>
            <w:tcW w:w="4168" w:type="pct"/>
            <w:gridSpan w:val="2"/>
          </w:tcPr>
          <w:p w14:paraId="5391E3BD" w14:textId="77777777" w:rsidR="0006748B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Sprzętowe wsparcie technologii wirtualizacji realizowane łącznie w procesorze, chipsecie płyty głównej oraz </w:t>
            </w:r>
            <w:r w:rsidR="001373F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 BIOS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systemu.</w:t>
            </w:r>
          </w:p>
        </w:tc>
      </w:tr>
      <w:tr w:rsidR="008C7C9A" w:rsidRPr="008C7C9A" w14:paraId="786FCC3F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4515734B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BIOS</w:t>
            </w:r>
          </w:p>
        </w:tc>
        <w:tc>
          <w:tcPr>
            <w:tcW w:w="4168" w:type="pct"/>
            <w:gridSpan w:val="2"/>
          </w:tcPr>
          <w:p w14:paraId="62F4D518" w14:textId="77777777" w:rsidR="00813391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BIOS zgodny ze specyfikacją UEFI, wyprodukowany przez producenta komputera, zawierający logo lub nazwę producenta komputera lub nazw</w:t>
            </w:r>
            <w:r w:rsidR="00766A38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ę modelu oferowanego komputera.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Pełna obsługa BIOS </w:t>
            </w:r>
            <w:r w:rsidR="00BE265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za pomocą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myszy.</w:t>
            </w:r>
            <w:r w:rsidR="00C634E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(przez pełną obsługę za pomocą myszy rozumie się możliwość swobodnego poruszania się po menu we/wy oraz wł/wy funkcji bez używania klawiatury).</w:t>
            </w:r>
          </w:p>
          <w:p w14:paraId="3F758745" w14:textId="77777777" w:rsidR="00D906AC" w:rsidRPr="008C7C9A" w:rsidRDefault="00D906AC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Informacje dostępne z poziomu BIOS na potrzeby inwentaryzacji:</w:t>
            </w:r>
          </w:p>
          <w:p w14:paraId="31F38461" w14:textId="15A4D615" w:rsidR="00D906AC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wersj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BIOS, nr seryjny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data produkcji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komputera,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pamięć RAM (taktowanie, wielkość, obsadzenie kości w slotach, procesor (nazwa, typowa prędkość, minimalna, maksymalna, cache L2 i L3)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pojemności zainstalowanego lub zainstalowanych dysków twardych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MAC adres zintegrowanej karty sieciowej,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integrowany układ graficzny,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kontroler audio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D906A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Informacje dostępne w samym menu BIOS bez stosowania dodatkowego oprogramowania jak i wbudowanego systemu diagnostycznego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662A5A99" w14:textId="77777777" w:rsidR="00B46C05" w:rsidRPr="008C7C9A" w:rsidRDefault="00B46C05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Możliwość, ustawienia hasła na poziomie:</w:t>
            </w:r>
          </w:p>
          <w:p w14:paraId="01E285DD" w14:textId="5FF93B45" w:rsidR="00B46C05" w:rsidRPr="008C7C9A" w:rsidRDefault="00B46C05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- 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administratora [hasło nadrzędne]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umożliwiające logowanie do BIOS, dokonywanie zmian, rozruch komputera,</w:t>
            </w:r>
          </w:p>
          <w:p w14:paraId="6A362070" w14:textId="3F712450" w:rsidR="00B46C05" w:rsidRPr="008C7C9A" w:rsidRDefault="00B46C05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</w:t>
            </w:r>
            <w:r w:rsidR="0069225F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użytkownika/systemowego [hasło umożliwiające użytkownikowi zmianę swojego hasła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zgodnie z uprawnieniami nadanymi przez administratora dokonywać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lub nie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zmian ustawień BIOS], rozruch systemu operacyjnego [hasło blokuje start systemu operacyjnego].</w:t>
            </w:r>
          </w:p>
          <w:p w14:paraId="7D3D5BB3" w14:textId="55CC26B4" w:rsidR="0037008B" w:rsidRPr="008C7C9A" w:rsidRDefault="003700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 hasło dla dysku</w:t>
            </w:r>
          </w:p>
          <w:p w14:paraId="39874886" w14:textId="77777777" w:rsidR="00813391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Funkcja blokowania/odblokowania BOOT-owania stacji roboczej z zewnętrznych urządzeń.</w:t>
            </w:r>
          </w:p>
          <w:p w14:paraId="0608DEC9" w14:textId="0532C177" w:rsidR="00711097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wyłączenia/włączenia karty sieciowej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kontrolera SATA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kontrolera audio,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głośników, kamery, mikrofonów, 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układu TPM</w:t>
            </w:r>
            <w:r w:rsidR="0037008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="0071109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czytnika kart multimedialnych</w:t>
            </w:r>
          </w:p>
          <w:p w14:paraId="1D578011" w14:textId="77777777" w:rsidR="00813391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włączenia/wyłączenia czujnika otwarcia obudowy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ustawienia go w tryb cichy </w:t>
            </w:r>
          </w:p>
          <w:p w14:paraId="40D8C4BF" w14:textId="1865B3E3" w:rsidR="00813391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przypisania w BIOS numeru nadawanego przez Administratora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oraz możliwość weryfikacji tego numeru w oprogramowaniu diagnostyczno-zarządzającym.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42336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usi umożliwiać znaki specjalne </w:t>
            </w:r>
            <w:r w:rsidR="0042336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# $ % &amp; ' ( ) * + , - . / : ; &lt; = &gt; ? @ [ \ ] ^ _ ` { | }</w:t>
            </w:r>
          </w:p>
          <w:p w14:paraId="50CE728F" w14:textId="77777777" w:rsidR="00813391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14:paraId="1B0DBFA7" w14:textId="0E8FC544" w:rsidR="0006748B" w:rsidRPr="008C7C9A" w:rsidRDefault="008133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Możliwość wyłączania portów USB </w:t>
            </w:r>
            <w:r w:rsidR="0042336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grupami oraz 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 szczególności pojedynczo w dowolnej kombinacj</w:t>
            </w:r>
            <w:r w:rsidR="0042336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</w:t>
            </w:r>
            <w:r w:rsidR="00B46C0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="0071109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797E2C20" w14:textId="77777777" w:rsidR="00D906AC" w:rsidRPr="008C7C9A" w:rsidRDefault="00D906AC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BIOS musi nanosić automatycznie wszystkie zmiany konfiguracji dotyczące w szczególności: pamięci, procesora, dysku.</w:t>
            </w:r>
          </w:p>
        </w:tc>
      </w:tr>
      <w:tr w:rsidR="008C7C9A" w:rsidRPr="008C7C9A" w14:paraId="299372D8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73FB7A34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Certyfikaty i standardy</w:t>
            </w:r>
          </w:p>
        </w:tc>
        <w:tc>
          <w:tcPr>
            <w:tcW w:w="4168" w:type="pct"/>
            <w:gridSpan w:val="2"/>
          </w:tcPr>
          <w:p w14:paraId="118C1DB2" w14:textId="728AD9D1" w:rsidR="00711097" w:rsidRPr="00576040" w:rsidRDefault="00711097" w:rsidP="0078422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Certyfikat ISO</w:t>
            </w:r>
            <w:r w:rsidR="0069225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="006471F1"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9001 dla</w:t>
            </w:r>
            <w:r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producenta sprzętu (załączyć </w:t>
            </w:r>
            <w:r w:rsidR="006471F1"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 oferty</w:t>
            </w:r>
            <w:r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)</w:t>
            </w:r>
          </w:p>
          <w:p w14:paraId="475BF26E" w14:textId="2AD95D4B" w:rsidR="00382AE5" w:rsidRPr="008C7C9A" w:rsidRDefault="00382AE5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Certyfikat ISO 50001 sprzętu</w:t>
            </w:r>
            <w:r w:rsidR="002511E5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34163D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dla producenta </w:t>
            </w:r>
            <w:r w:rsidR="002511E5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(załączyć do oferty)</w:t>
            </w:r>
          </w:p>
          <w:p w14:paraId="2D704BB7" w14:textId="11324EFE" w:rsidR="00711097" w:rsidRPr="008C7C9A" w:rsidRDefault="00E35464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Musi posiadać deklaracje </w:t>
            </w:r>
            <w:r w:rsidR="0071109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zgodności CE </w:t>
            </w:r>
          </w:p>
          <w:p w14:paraId="48157895" w14:textId="0C57548D" w:rsidR="00711097" w:rsidRPr="008C7C9A" w:rsidRDefault="00711097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Potwierdzenie spełnienia kryteriów środowiskowych, w tym zgodności z dyrektywą RoHS Unii Europejskiej o eliminacji substancji niebezpiecznych w postaci </w:t>
            </w:r>
            <w:r w:rsidRPr="007C5A32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oświadczenia </w:t>
            </w:r>
            <w:r w:rsidR="007C5A32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</w:t>
            </w:r>
            <w:r w:rsidR="007C5A32" w:rsidRPr="007C5A32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ykonawcy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</w:t>
            </w:r>
          </w:p>
          <w:p w14:paraId="7ABFC271" w14:textId="3588758D" w:rsidR="001A344B" w:rsidRPr="008C7C9A" w:rsidRDefault="0077668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Certyfikat</w:t>
            </w:r>
            <w:r w:rsidR="00C53184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co najmniej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0319E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EPEAT </w:t>
            </w:r>
            <w:r w:rsidR="00C53184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Silver </w:t>
            </w:r>
            <w:bookmarkStart w:id="0" w:name="_Hlk147138025"/>
            <w:r w:rsidR="005203D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dla Polski</w:t>
            </w:r>
            <w:r w:rsidR="000C036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5203D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ze strony </w:t>
            </w:r>
            <w:hyperlink r:id="rId9" w:history="1">
              <w:r w:rsidR="0064559A" w:rsidRPr="008C7C9A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t>https://epeat.net/</w:t>
              </w:r>
            </w:hyperlink>
            <w:r w:rsidR="0064559A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161E1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lub </w:t>
            </w:r>
            <w:r w:rsidR="00161E10" w:rsidRPr="000319E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TCO</w:t>
            </w:r>
            <w:r w:rsidR="00021D9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="00021D91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– </w:t>
            </w:r>
            <w:bookmarkEnd w:id="0"/>
            <w:r w:rsidR="00052236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Wykonawca złoży dokument potwierdzający spełnianie wymogu.</w:t>
            </w:r>
          </w:p>
        </w:tc>
      </w:tr>
      <w:tr w:rsidR="008C7C9A" w:rsidRPr="008C7C9A" w14:paraId="314A95B7" w14:textId="77777777" w:rsidTr="00784223">
        <w:trPr>
          <w:cantSplit/>
          <w:trHeight w:val="284"/>
        </w:trPr>
        <w:tc>
          <w:tcPr>
            <w:tcW w:w="832" w:type="pct"/>
            <w:shd w:val="clear" w:color="auto" w:fill="auto"/>
          </w:tcPr>
          <w:p w14:paraId="18A9A3CF" w14:textId="77777777" w:rsidR="0006748B" w:rsidRPr="008C7C9A" w:rsidRDefault="0006748B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Ergonomia</w:t>
            </w:r>
          </w:p>
        </w:tc>
        <w:tc>
          <w:tcPr>
            <w:tcW w:w="4168" w:type="pct"/>
            <w:gridSpan w:val="2"/>
          </w:tcPr>
          <w:p w14:paraId="3EFDFFC9" w14:textId="19B61BCF" w:rsidR="0006748B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Głośność jednostki centralnej mierzona zgodnie z normą ISO 7779 oraz wykazana zgodnie z normą ISO 9296 w pozycji o</w:t>
            </w:r>
            <w:r w:rsidR="002238D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peratora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 trybie pracy</w:t>
            </w:r>
            <w:r w:rsidR="004777C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jałowej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dysku twardego (IDLE) wynosząca maksymalnie 2</w:t>
            </w:r>
            <w:r w:rsidR="002238D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4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dB (</w:t>
            </w:r>
            <w:r w:rsidRPr="00F92C5C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załączyć </w:t>
            </w:r>
            <w:r w:rsidRPr="002511E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oświadczenie </w:t>
            </w:r>
            <w:r w:rsidR="002511E5" w:rsidRPr="002511E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</w:t>
            </w:r>
            <w:r w:rsidR="002511E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ykonawcy)</w:t>
            </w:r>
          </w:p>
        </w:tc>
      </w:tr>
      <w:tr w:rsidR="008C7C9A" w:rsidRPr="008C7C9A" w14:paraId="11864B96" w14:textId="77777777" w:rsidTr="00784223">
        <w:trPr>
          <w:cantSplit/>
        </w:trPr>
        <w:tc>
          <w:tcPr>
            <w:tcW w:w="832" w:type="pct"/>
            <w:shd w:val="clear" w:color="auto" w:fill="auto"/>
          </w:tcPr>
          <w:p w14:paraId="4CEE150D" w14:textId="5C716DFC" w:rsidR="0006748B" w:rsidRPr="008C7C9A" w:rsidRDefault="00436348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Wymagania dodatkowe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4AA6159" w14:textId="6628C10F" w:rsidR="008845D9" w:rsidRPr="008C7C9A" w:rsidRDefault="0006748B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Wbudowane porty:</w:t>
            </w:r>
            <w:r w:rsidR="00711097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172A9319" w14:textId="73146B92" w:rsidR="0059689E" w:rsidRPr="00285099" w:rsidRDefault="00285099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2850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5</w:t>
            </w:r>
            <w:r w:rsidR="0059689E" w:rsidRPr="002850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x USB</w:t>
            </w:r>
            <w:r w:rsidRPr="002850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(w tym 4 porty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zgodne ze standardem</w:t>
            </w:r>
            <w:r w:rsidRPr="002850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  <w:r w:rsidRPr="0028509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0)</w:t>
            </w:r>
          </w:p>
          <w:p w14:paraId="675A4B43" w14:textId="3942821D" w:rsidR="00BE0DD4" w:rsidRPr="008C7C9A" w:rsidRDefault="00BE0DD4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1x Display Port </w:t>
            </w:r>
            <w:r w:rsidR="002C6EED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lub HDMI</w:t>
            </w:r>
          </w:p>
          <w:p w14:paraId="2F522D2B" w14:textId="7B12EC15" w:rsidR="00DA5132" w:rsidRPr="008C7C9A" w:rsidRDefault="00DA5132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1x RJ45 Ethernet port</w:t>
            </w:r>
          </w:p>
          <w:p w14:paraId="6E3080BE" w14:textId="5E9AEA00" w:rsidR="009D0136" w:rsidRPr="008C7C9A" w:rsidRDefault="009D0136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1x Uniwersalny audio port</w:t>
            </w:r>
          </w:p>
          <w:p w14:paraId="0EEE6339" w14:textId="55C1034F" w:rsidR="000C0365" w:rsidRPr="00545335" w:rsidRDefault="008031A7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545335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1x Line-out audio  </w:t>
            </w:r>
            <w:r w:rsidR="009D0136" w:rsidRPr="00545335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  <w:p w14:paraId="13601107" w14:textId="30A27784" w:rsidR="00633C7F" w:rsidRPr="008C7C9A" w:rsidRDefault="00633C7F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Karta sieciowa WiFi z Bluetooth  </w:t>
            </w:r>
          </w:p>
          <w:p w14:paraId="0F617821" w14:textId="0707EEB5" w:rsidR="00DD580D" w:rsidRDefault="0006748B" w:rsidP="00DD580D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ED4499">
              <w:rPr>
                <w:rFonts w:asciiTheme="minorHAnsi" w:hAnsiTheme="minorHAnsi" w:cstheme="minorHAnsi"/>
                <w:bCs/>
                <w:sz w:val="20"/>
              </w:rPr>
              <w:lastRenderedPageBreak/>
              <w:t xml:space="preserve">Płyta główna </w:t>
            </w:r>
            <w:r w:rsidRPr="0000112A">
              <w:rPr>
                <w:rFonts w:asciiTheme="minorHAnsi" w:hAnsiTheme="minorHAnsi" w:cstheme="minorHAnsi"/>
                <w:bCs/>
                <w:sz w:val="20"/>
              </w:rPr>
              <w:t xml:space="preserve">zaprojektowana i wyprodukowana na zlecenie producenta komputera, </w:t>
            </w:r>
            <w:r w:rsidR="00436348" w:rsidRPr="0000112A">
              <w:rPr>
                <w:rFonts w:asciiTheme="minorHAnsi" w:hAnsiTheme="minorHAnsi" w:cstheme="minorHAnsi"/>
                <w:bCs/>
                <w:sz w:val="20"/>
              </w:rPr>
              <w:t>dedykowana</w:t>
            </w:r>
            <w:r w:rsidRPr="0000112A">
              <w:rPr>
                <w:rFonts w:asciiTheme="minorHAnsi" w:hAnsiTheme="minorHAnsi" w:cstheme="minorHAnsi"/>
                <w:bCs/>
                <w:sz w:val="20"/>
              </w:rPr>
              <w:t xml:space="preserve"> dla danego urządzenia;</w:t>
            </w:r>
            <w:r w:rsidRPr="00ED4499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wyposażona w mi</w:t>
            </w:r>
            <w:r w:rsidR="00BD711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n. 2 złącza DIMM z obsługą do </w:t>
            </w:r>
            <w:r w:rsidR="008845D9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64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GB</w:t>
            </w:r>
            <w:r w:rsidR="00C634E5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pamięci RAM</w:t>
            </w:r>
            <w:r w:rsidR="0069225F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="002238DF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karty WiFi</w:t>
            </w:r>
            <w:r w:rsidR="00344DBB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min. 1 złącze</w:t>
            </w:r>
            <w:r w:rsidR="00AB509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umożliwiające instalację </w:t>
            </w:r>
            <w:r w:rsidR="00DD580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dodatkowego </w:t>
            </w:r>
            <w:r w:rsidR="00AB509C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dysku twardego 2,5”</w:t>
            </w:r>
            <w:r w:rsidR="00C103F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5378DDAE" w14:textId="294A463B" w:rsidR="0006748B" w:rsidRPr="006875DA" w:rsidRDefault="00DD580D" w:rsidP="00DD580D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</w:t>
            </w:r>
            <w:r w:rsidR="0006748B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lawiatura w układzie polski programisty</w:t>
            </w:r>
            <w:r w:rsidR="00B700AF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7EA3ABDE" w14:textId="285872C7" w:rsidR="00B700AF" w:rsidRDefault="00DD580D" w:rsidP="00784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</w:t>
            </w:r>
            <w:r w:rsidR="0006748B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ysz</w:t>
            </w:r>
            <w:r w:rsidR="00BD711F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optyczna</w:t>
            </w:r>
            <w:r w:rsidR="0006748B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 </w:t>
            </w:r>
            <w:r w:rsidR="00BD711F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dwoma</w:t>
            </w:r>
            <w:r w:rsidR="0006748B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436348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przyciskami </w:t>
            </w:r>
            <w:r w:rsidR="0006748B" w:rsidRPr="006875D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oraz rolką (scroll)</w:t>
            </w:r>
            <w:r w:rsidR="00C103F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688355FA" w14:textId="65231B4D" w:rsidR="0006748B" w:rsidRPr="008C7C9A" w:rsidRDefault="00B700AF" w:rsidP="00784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Żadna z wymienionych w tej specyfikacji funkcji (np. wifi ) nie może być osiągnięta poprzez zajęcie dostępnego fabrycznego portu USB</w:t>
            </w:r>
            <w:r w:rsidR="00C103F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</w:tc>
      </w:tr>
      <w:tr w:rsidR="008C7C9A" w:rsidRPr="008C7C9A" w14:paraId="39E59674" w14:textId="77777777" w:rsidTr="00784223">
        <w:trPr>
          <w:cantSplit/>
        </w:trPr>
        <w:tc>
          <w:tcPr>
            <w:tcW w:w="832" w:type="pct"/>
            <w:shd w:val="clear" w:color="auto" w:fill="auto"/>
          </w:tcPr>
          <w:p w14:paraId="0A6C5883" w14:textId="77777777" w:rsidR="00AB2C24" w:rsidRPr="008C7C9A" w:rsidRDefault="00AB2C24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Warunki gwarancji</w:t>
            </w:r>
          </w:p>
          <w:p w14:paraId="798C3FA6" w14:textId="77777777" w:rsidR="00AB2C24" w:rsidRPr="008C7C9A" w:rsidRDefault="00AB2C24" w:rsidP="00784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Wsparcie techniczne</w:t>
            </w:r>
          </w:p>
        </w:tc>
        <w:tc>
          <w:tcPr>
            <w:tcW w:w="4168" w:type="pct"/>
            <w:gridSpan w:val="2"/>
          </w:tcPr>
          <w:p w14:paraId="1CA4F1FA" w14:textId="5D53B399" w:rsidR="00854F92" w:rsidRPr="008C7C9A" w:rsidRDefault="00021D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Minimum </w:t>
            </w:r>
            <w:r w:rsidR="000319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</w:t>
            </w:r>
            <w:r w:rsidR="00854F92"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-letnia gwarancja producenta świadczona na miejscu u klienta</w:t>
            </w:r>
            <w:r w:rsidR="00C103F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7EE3BD36" w14:textId="6F1DCBDF" w:rsidR="00854F92" w:rsidRPr="008C7C9A" w:rsidRDefault="00854F92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Czas reakcji serwisu - do końca następnego dnia roboczego</w:t>
            </w:r>
            <w:r w:rsidR="00C103F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01DEC612" w14:textId="77777777" w:rsidR="00854F92" w:rsidRPr="008C7C9A" w:rsidRDefault="00854F92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Firma serwisująca musi posiadać ISO 9001: 2015 na świadczenie usług serwisowych oraz posiadać autoryzacje producenta komputera – </w:t>
            </w:r>
            <w:r w:rsidRPr="0057604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dokumenty potwierdzające załączyć do oferty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05641F92" w14:textId="59186ADE" w:rsidR="008C7C9A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Minimalny czas trwania wsparcia technicznego producenta wynosi </w:t>
            </w:r>
            <w:r w:rsidR="00E35464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lata, z możliwością odpłatnego  przedłużenia tego okresu do 4 lub 5 lat od daty dostawy.</w:t>
            </w:r>
          </w:p>
          <w:p w14:paraId="6D1BC874" w14:textId="77777777" w:rsidR="008C7C9A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Sposób realizacji usług wsparcia technicznego:</w:t>
            </w:r>
          </w:p>
          <w:p w14:paraId="5DE5EE9E" w14:textId="77777777" w:rsidR="008C7C9A" w:rsidRPr="008C7C9A" w:rsidRDefault="008C7C9A" w:rsidP="00784223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Telefoniczne zgłaszanie usterek w trybie 24h / dobę, 7 dni w tygodniu (w języku polskim w dni robocze w godz. 8-17).</w:t>
            </w:r>
          </w:p>
          <w:p w14:paraId="59001391" w14:textId="77777777" w:rsidR="008C7C9A" w:rsidRPr="008C7C9A" w:rsidRDefault="008C7C9A" w:rsidP="00784223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Dostęp do bezpłatnego portalu technicznego producenta, który umożliwi zamawianie części zamiennych i/lub wizyt technika serwisowego, mający na celu przyśpieszenie procesu diagnostyki i skrócenia czasu usunięcia usterki.</w:t>
            </w:r>
          </w:p>
          <w:p w14:paraId="72FB784A" w14:textId="77777777" w:rsidR="008C7C9A" w:rsidRPr="008C7C9A" w:rsidRDefault="008C7C9A" w:rsidP="00784223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Opcjonalna pomoc techniczna za pośrednictwem czat online.</w:t>
            </w:r>
          </w:p>
          <w:p w14:paraId="3442AE30" w14:textId="77777777" w:rsidR="008C7C9A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Wsparcie techniczne świadczone przez pracowników producenta urządzeń dla sprzętu i wybranego oprogramowania OEM, zakupionego z urządzeniem, dostarczane zdalnie lub w miejscu instalacji urządzenia, w zależności od rodzaju zgłaszanej awarii. </w:t>
            </w:r>
          </w:p>
          <w:p w14:paraId="7D21324A" w14:textId="215D9933" w:rsid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 przypadku awarii zakwalifikowanej jako naprawa w miejscu instalacji urządzenia, część zamienna wymagana do naprawy i/lub technik serwisowy przybędzie na miejsce wskazane przez klienta na następny dzie</w:t>
            </w:r>
            <w:r w:rsidR="00F92C5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ń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roboczy od momentu skutecznego przyjęcia zgłoszenia przez Dział Wsparcia Technicznego.</w:t>
            </w:r>
          </w:p>
          <w:p w14:paraId="01A8FDAC" w14:textId="6E075EB1" w:rsidR="00727591" w:rsidRPr="008C7C9A" w:rsidRDefault="00727591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759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</w:t>
            </w:r>
          </w:p>
          <w:p w14:paraId="7D932C54" w14:textId="77777777" w:rsidR="008C7C9A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Możliwość sprawdzenia aktualnego okresu i poziomu wsparcia technicznego dla urządzeń za pośrednictwem strony internetowej producenta.</w:t>
            </w:r>
          </w:p>
          <w:p w14:paraId="12187EA4" w14:textId="6DE403A4" w:rsidR="008C7C9A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</w:t>
            </w:r>
            <w:r w:rsidR="00F92C5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ż</w:t>
            </w: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liwość pobrania aktualnych wersji sterowników oraz firmware urządzenia za pośrednictwem strony internetowej producenta również dla urządzeń z nieaktywnym wsparciem technicznym.</w:t>
            </w:r>
          </w:p>
          <w:p w14:paraId="3C3E378B" w14:textId="6D43967D" w:rsidR="00AB2C24" w:rsidRPr="008C7C9A" w:rsidRDefault="008C7C9A" w:rsidP="0078422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C7C9A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Przydzielenie zasobu w postaci kierownika technicznego w przypadku eskalacji problemów serwisowych.</w:t>
            </w:r>
          </w:p>
        </w:tc>
      </w:tr>
    </w:tbl>
    <w:p w14:paraId="2B6126EC" w14:textId="77777777" w:rsidR="00E442E1" w:rsidRDefault="00E442E1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506F0B78" w14:textId="77777777" w:rsidR="002511E5" w:rsidRDefault="002511E5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634B6BD2" w14:textId="77777777" w:rsidR="002511E5" w:rsidRDefault="002511E5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0A9E4D5C" w14:textId="77777777" w:rsidR="002511E5" w:rsidRDefault="002511E5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42F7BA7E" w14:textId="77777777" w:rsidR="00727591" w:rsidRDefault="00727591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0868809B" w14:textId="77777777" w:rsidR="002511E5" w:rsidRDefault="002511E5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0A7FE5E3" w14:textId="77777777" w:rsidR="002511E5" w:rsidRDefault="002511E5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56B50CAE" w14:textId="77777777" w:rsidR="0017192D" w:rsidRPr="0017192D" w:rsidRDefault="0017192D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17192D" w:rsidRPr="0017192D" w:rsidSect="007D08A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4BE6" w14:textId="77777777" w:rsidR="00AE7A02" w:rsidRDefault="00AE7A02" w:rsidP="00C634E5">
      <w:r>
        <w:separator/>
      </w:r>
    </w:p>
  </w:endnote>
  <w:endnote w:type="continuationSeparator" w:id="0">
    <w:p w14:paraId="1A06118F" w14:textId="77777777" w:rsidR="00AE7A02" w:rsidRDefault="00AE7A02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ll Repl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30D4" w14:textId="77777777" w:rsidR="00AE7A02" w:rsidRDefault="00AE7A02" w:rsidP="00C634E5">
      <w:r>
        <w:separator/>
      </w:r>
    </w:p>
  </w:footnote>
  <w:footnote w:type="continuationSeparator" w:id="0">
    <w:p w14:paraId="1FAA8DDB" w14:textId="77777777" w:rsidR="00AE7A02" w:rsidRDefault="00AE7A02" w:rsidP="00C6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6A8B" w14:textId="42C86EC4" w:rsidR="00E35464" w:rsidRPr="00E35464" w:rsidRDefault="00E35464" w:rsidP="00E35464">
    <w:pPr>
      <w:pStyle w:val="Nagwek"/>
      <w:jc w:val="right"/>
      <w:rPr>
        <w:rFonts w:asciiTheme="minorHAnsi" w:hAnsiTheme="minorHAnsi" w:cstheme="minorHAnsi"/>
        <w:b/>
        <w:bCs/>
      </w:rPr>
    </w:pPr>
    <w:r w:rsidRPr="00E35464">
      <w:rPr>
        <w:rFonts w:asciiTheme="minorHAnsi" w:hAnsiTheme="minorHAnsi" w:cstheme="minorHAnsi"/>
        <w:b/>
        <w:bCs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2BA"/>
    <w:multiLevelType w:val="hybridMultilevel"/>
    <w:tmpl w:val="A99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92B"/>
    <w:multiLevelType w:val="hybridMultilevel"/>
    <w:tmpl w:val="859E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18D3"/>
    <w:multiLevelType w:val="hybridMultilevel"/>
    <w:tmpl w:val="D142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47F4"/>
    <w:multiLevelType w:val="hybridMultilevel"/>
    <w:tmpl w:val="1E5639F8"/>
    <w:lvl w:ilvl="0" w:tplc="D15C63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52ABE"/>
    <w:multiLevelType w:val="hybridMultilevel"/>
    <w:tmpl w:val="AA9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5232"/>
    <w:multiLevelType w:val="hybridMultilevel"/>
    <w:tmpl w:val="3B76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2B4F"/>
    <w:multiLevelType w:val="hybridMultilevel"/>
    <w:tmpl w:val="827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ECC"/>
    <w:multiLevelType w:val="hybridMultilevel"/>
    <w:tmpl w:val="3814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72EC"/>
    <w:multiLevelType w:val="hybridMultilevel"/>
    <w:tmpl w:val="EA02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21909">
    <w:abstractNumId w:val="2"/>
  </w:num>
  <w:num w:numId="2" w16cid:durableId="1705786500">
    <w:abstractNumId w:val="6"/>
  </w:num>
  <w:num w:numId="3" w16cid:durableId="800925723">
    <w:abstractNumId w:val="16"/>
  </w:num>
  <w:num w:numId="4" w16cid:durableId="1519585639">
    <w:abstractNumId w:val="0"/>
  </w:num>
  <w:num w:numId="5" w16cid:durableId="1486043149">
    <w:abstractNumId w:val="19"/>
  </w:num>
  <w:num w:numId="6" w16cid:durableId="316811693">
    <w:abstractNumId w:val="12"/>
  </w:num>
  <w:num w:numId="7" w16cid:durableId="875240529">
    <w:abstractNumId w:val="13"/>
  </w:num>
  <w:num w:numId="8" w16cid:durableId="916984699">
    <w:abstractNumId w:val="5"/>
  </w:num>
  <w:num w:numId="9" w16cid:durableId="941500568">
    <w:abstractNumId w:val="14"/>
  </w:num>
  <w:num w:numId="10" w16cid:durableId="1745491689">
    <w:abstractNumId w:val="10"/>
  </w:num>
  <w:num w:numId="11" w16cid:durableId="1742633956">
    <w:abstractNumId w:val="17"/>
  </w:num>
  <w:num w:numId="12" w16cid:durableId="1255481441">
    <w:abstractNumId w:val="7"/>
  </w:num>
  <w:num w:numId="13" w16cid:durableId="712926155">
    <w:abstractNumId w:val="11"/>
  </w:num>
  <w:num w:numId="14" w16cid:durableId="626278208">
    <w:abstractNumId w:val="18"/>
  </w:num>
  <w:num w:numId="15" w16cid:durableId="163714546">
    <w:abstractNumId w:val="3"/>
  </w:num>
  <w:num w:numId="16" w16cid:durableId="250706204">
    <w:abstractNumId w:val="15"/>
  </w:num>
  <w:num w:numId="17" w16cid:durableId="603415058">
    <w:abstractNumId w:val="8"/>
  </w:num>
  <w:num w:numId="18" w16cid:durableId="1670209278">
    <w:abstractNumId w:val="9"/>
  </w:num>
  <w:num w:numId="19" w16cid:durableId="2065373760">
    <w:abstractNumId w:val="4"/>
  </w:num>
  <w:num w:numId="20" w16cid:durableId="201945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8B"/>
    <w:rsid w:val="0000112A"/>
    <w:rsid w:val="00021D91"/>
    <w:rsid w:val="00026808"/>
    <w:rsid w:val="000319E0"/>
    <w:rsid w:val="000433BE"/>
    <w:rsid w:val="00052236"/>
    <w:rsid w:val="0006748B"/>
    <w:rsid w:val="00082928"/>
    <w:rsid w:val="00087E20"/>
    <w:rsid w:val="000A773E"/>
    <w:rsid w:val="000C0365"/>
    <w:rsid w:val="000D0862"/>
    <w:rsid w:val="000E7AAA"/>
    <w:rsid w:val="0010570F"/>
    <w:rsid w:val="00125403"/>
    <w:rsid w:val="00131780"/>
    <w:rsid w:val="00135DF3"/>
    <w:rsid w:val="001373F1"/>
    <w:rsid w:val="00141232"/>
    <w:rsid w:val="001426D7"/>
    <w:rsid w:val="00161E10"/>
    <w:rsid w:val="00163EEA"/>
    <w:rsid w:val="0017192D"/>
    <w:rsid w:val="001A344B"/>
    <w:rsid w:val="001A5902"/>
    <w:rsid w:val="001B3033"/>
    <w:rsid w:val="001B7CB9"/>
    <w:rsid w:val="001D19AC"/>
    <w:rsid w:val="001E6A97"/>
    <w:rsid w:val="00206109"/>
    <w:rsid w:val="002132C7"/>
    <w:rsid w:val="00214C26"/>
    <w:rsid w:val="002238DF"/>
    <w:rsid w:val="00241D29"/>
    <w:rsid w:val="00243EAB"/>
    <w:rsid w:val="0024528D"/>
    <w:rsid w:val="00247787"/>
    <w:rsid w:val="002511E5"/>
    <w:rsid w:val="0025319E"/>
    <w:rsid w:val="002556FA"/>
    <w:rsid w:val="00285099"/>
    <w:rsid w:val="00293B5B"/>
    <w:rsid w:val="00294FFC"/>
    <w:rsid w:val="002A0726"/>
    <w:rsid w:val="002C6EED"/>
    <w:rsid w:val="002E77B0"/>
    <w:rsid w:val="002F04F9"/>
    <w:rsid w:val="00302793"/>
    <w:rsid w:val="00311E7F"/>
    <w:rsid w:val="003127F4"/>
    <w:rsid w:val="00324DB1"/>
    <w:rsid w:val="0034163D"/>
    <w:rsid w:val="003423AA"/>
    <w:rsid w:val="00344DBB"/>
    <w:rsid w:val="0034536C"/>
    <w:rsid w:val="0035420D"/>
    <w:rsid w:val="00354C1E"/>
    <w:rsid w:val="00364026"/>
    <w:rsid w:val="00364D8B"/>
    <w:rsid w:val="0037008B"/>
    <w:rsid w:val="0037608C"/>
    <w:rsid w:val="00376A6D"/>
    <w:rsid w:val="00382AE5"/>
    <w:rsid w:val="003853BF"/>
    <w:rsid w:val="003B0026"/>
    <w:rsid w:val="003B24F7"/>
    <w:rsid w:val="00413470"/>
    <w:rsid w:val="00414B66"/>
    <w:rsid w:val="00423369"/>
    <w:rsid w:val="00425A30"/>
    <w:rsid w:val="0043490B"/>
    <w:rsid w:val="00435E67"/>
    <w:rsid w:val="00436348"/>
    <w:rsid w:val="00443864"/>
    <w:rsid w:val="0047491A"/>
    <w:rsid w:val="004777C5"/>
    <w:rsid w:val="004807B4"/>
    <w:rsid w:val="00495A09"/>
    <w:rsid w:val="004B68BF"/>
    <w:rsid w:val="004C05F2"/>
    <w:rsid w:val="004C0F5B"/>
    <w:rsid w:val="004C4982"/>
    <w:rsid w:val="004C6328"/>
    <w:rsid w:val="004F6371"/>
    <w:rsid w:val="0050302A"/>
    <w:rsid w:val="005203D7"/>
    <w:rsid w:val="00532A59"/>
    <w:rsid w:val="00541A0E"/>
    <w:rsid w:val="00544563"/>
    <w:rsid w:val="00545335"/>
    <w:rsid w:val="00553A6E"/>
    <w:rsid w:val="00557CB0"/>
    <w:rsid w:val="005667BF"/>
    <w:rsid w:val="005677F9"/>
    <w:rsid w:val="00572634"/>
    <w:rsid w:val="00576040"/>
    <w:rsid w:val="00581A0C"/>
    <w:rsid w:val="00595CD0"/>
    <w:rsid w:val="0059689E"/>
    <w:rsid w:val="005A139B"/>
    <w:rsid w:val="005D2AAF"/>
    <w:rsid w:val="005E76F3"/>
    <w:rsid w:val="005F2A76"/>
    <w:rsid w:val="00600A4C"/>
    <w:rsid w:val="00601242"/>
    <w:rsid w:val="00633C7F"/>
    <w:rsid w:val="00636EBD"/>
    <w:rsid w:val="0064559A"/>
    <w:rsid w:val="006471F1"/>
    <w:rsid w:val="00650470"/>
    <w:rsid w:val="00662C63"/>
    <w:rsid w:val="006753AA"/>
    <w:rsid w:val="006849C0"/>
    <w:rsid w:val="00685BA5"/>
    <w:rsid w:val="006875DA"/>
    <w:rsid w:val="0069225F"/>
    <w:rsid w:val="006A40B2"/>
    <w:rsid w:val="006B2D8E"/>
    <w:rsid w:val="006C1E80"/>
    <w:rsid w:val="006C666D"/>
    <w:rsid w:val="006E0AC7"/>
    <w:rsid w:val="006F0A07"/>
    <w:rsid w:val="006F3150"/>
    <w:rsid w:val="00701E18"/>
    <w:rsid w:val="00703B90"/>
    <w:rsid w:val="00711097"/>
    <w:rsid w:val="007160AC"/>
    <w:rsid w:val="00727591"/>
    <w:rsid w:val="007313FB"/>
    <w:rsid w:val="00732652"/>
    <w:rsid w:val="007356A3"/>
    <w:rsid w:val="0073606B"/>
    <w:rsid w:val="00736BAB"/>
    <w:rsid w:val="00737CF6"/>
    <w:rsid w:val="00740674"/>
    <w:rsid w:val="00754692"/>
    <w:rsid w:val="00766A38"/>
    <w:rsid w:val="007719AC"/>
    <w:rsid w:val="007756E4"/>
    <w:rsid w:val="00776689"/>
    <w:rsid w:val="00782E6D"/>
    <w:rsid w:val="00784223"/>
    <w:rsid w:val="007843BC"/>
    <w:rsid w:val="007C06AF"/>
    <w:rsid w:val="007C5A32"/>
    <w:rsid w:val="007D08AA"/>
    <w:rsid w:val="008031A7"/>
    <w:rsid w:val="00813391"/>
    <w:rsid w:val="008152B8"/>
    <w:rsid w:val="00832C00"/>
    <w:rsid w:val="00847994"/>
    <w:rsid w:val="00854F92"/>
    <w:rsid w:val="00860BB7"/>
    <w:rsid w:val="008845D9"/>
    <w:rsid w:val="00887072"/>
    <w:rsid w:val="00894D68"/>
    <w:rsid w:val="008C7C9A"/>
    <w:rsid w:val="008E75EF"/>
    <w:rsid w:val="008F19F7"/>
    <w:rsid w:val="008F5DD3"/>
    <w:rsid w:val="009358FA"/>
    <w:rsid w:val="009646FC"/>
    <w:rsid w:val="00965CEA"/>
    <w:rsid w:val="00982E32"/>
    <w:rsid w:val="009B59D1"/>
    <w:rsid w:val="009D0136"/>
    <w:rsid w:val="009D3CA8"/>
    <w:rsid w:val="009D59CB"/>
    <w:rsid w:val="009D59DB"/>
    <w:rsid w:val="009E4EFA"/>
    <w:rsid w:val="009E7A1B"/>
    <w:rsid w:val="00A05C98"/>
    <w:rsid w:val="00A14F7A"/>
    <w:rsid w:val="00A2277B"/>
    <w:rsid w:val="00A24291"/>
    <w:rsid w:val="00A510BF"/>
    <w:rsid w:val="00A60F48"/>
    <w:rsid w:val="00A66249"/>
    <w:rsid w:val="00A91DFE"/>
    <w:rsid w:val="00A936CB"/>
    <w:rsid w:val="00AB1E4F"/>
    <w:rsid w:val="00AB2C24"/>
    <w:rsid w:val="00AB509C"/>
    <w:rsid w:val="00AC4B91"/>
    <w:rsid w:val="00AD11C1"/>
    <w:rsid w:val="00AE1FF3"/>
    <w:rsid w:val="00AE7A02"/>
    <w:rsid w:val="00AF66F5"/>
    <w:rsid w:val="00B03764"/>
    <w:rsid w:val="00B072C5"/>
    <w:rsid w:val="00B12B3C"/>
    <w:rsid w:val="00B14809"/>
    <w:rsid w:val="00B17954"/>
    <w:rsid w:val="00B21C30"/>
    <w:rsid w:val="00B23294"/>
    <w:rsid w:val="00B46C05"/>
    <w:rsid w:val="00B63A0A"/>
    <w:rsid w:val="00B668B9"/>
    <w:rsid w:val="00B700AF"/>
    <w:rsid w:val="00B81341"/>
    <w:rsid w:val="00B849B5"/>
    <w:rsid w:val="00B95360"/>
    <w:rsid w:val="00BC18AD"/>
    <w:rsid w:val="00BD3D5A"/>
    <w:rsid w:val="00BD711F"/>
    <w:rsid w:val="00BE0DD4"/>
    <w:rsid w:val="00BE2142"/>
    <w:rsid w:val="00BE265F"/>
    <w:rsid w:val="00C066D6"/>
    <w:rsid w:val="00C103FD"/>
    <w:rsid w:val="00C103FF"/>
    <w:rsid w:val="00C16F0A"/>
    <w:rsid w:val="00C53184"/>
    <w:rsid w:val="00C54B4E"/>
    <w:rsid w:val="00C634E5"/>
    <w:rsid w:val="00C65043"/>
    <w:rsid w:val="00C728AB"/>
    <w:rsid w:val="00C826FE"/>
    <w:rsid w:val="00C9296E"/>
    <w:rsid w:val="00CB2BB8"/>
    <w:rsid w:val="00CD09EC"/>
    <w:rsid w:val="00CD2739"/>
    <w:rsid w:val="00CF772A"/>
    <w:rsid w:val="00D04EE6"/>
    <w:rsid w:val="00D120EE"/>
    <w:rsid w:val="00D2025F"/>
    <w:rsid w:val="00D32AF8"/>
    <w:rsid w:val="00D44B13"/>
    <w:rsid w:val="00D45394"/>
    <w:rsid w:val="00D5341C"/>
    <w:rsid w:val="00D54767"/>
    <w:rsid w:val="00D81240"/>
    <w:rsid w:val="00D857AC"/>
    <w:rsid w:val="00D906AC"/>
    <w:rsid w:val="00DA0ED0"/>
    <w:rsid w:val="00DA5132"/>
    <w:rsid w:val="00DB2119"/>
    <w:rsid w:val="00DD00EA"/>
    <w:rsid w:val="00DD580D"/>
    <w:rsid w:val="00DE1F4E"/>
    <w:rsid w:val="00DE3630"/>
    <w:rsid w:val="00DE3782"/>
    <w:rsid w:val="00DF192C"/>
    <w:rsid w:val="00DF5A28"/>
    <w:rsid w:val="00E10158"/>
    <w:rsid w:val="00E12267"/>
    <w:rsid w:val="00E129EC"/>
    <w:rsid w:val="00E31D8F"/>
    <w:rsid w:val="00E35464"/>
    <w:rsid w:val="00E4289A"/>
    <w:rsid w:val="00E442E1"/>
    <w:rsid w:val="00E64BA3"/>
    <w:rsid w:val="00E73D62"/>
    <w:rsid w:val="00EA269A"/>
    <w:rsid w:val="00EC3931"/>
    <w:rsid w:val="00ED2FB4"/>
    <w:rsid w:val="00ED4499"/>
    <w:rsid w:val="00EE70D1"/>
    <w:rsid w:val="00F01D68"/>
    <w:rsid w:val="00F241F3"/>
    <w:rsid w:val="00F72387"/>
    <w:rsid w:val="00F7542D"/>
    <w:rsid w:val="00F92C5C"/>
    <w:rsid w:val="00F95D3A"/>
    <w:rsid w:val="00FB6267"/>
    <w:rsid w:val="00FC1805"/>
    <w:rsid w:val="00FE624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BBD49"/>
  <w15:docId w15:val="{80CF0DE1-F622-4015-A46D-FC86573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E7F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uiPriority w:val="99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Pa1">
    <w:name w:val="Pa1"/>
    <w:basedOn w:val="Normalny"/>
    <w:next w:val="Normalny"/>
    <w:uiPriority w:val="99"/>
    <w:rsid w:val="00CB2BB8"/>
    <w:pPr>
      <w:autoSpaceDE w:val="0"/>
      <w:autoSpaceDN w:val="0"/>
      <w:adjustRightInd w:val="0"/>
      <w:spacing w:line="241" w:lineRule="atLeast"/>
    </w:pPr>
    <w:rPr>
      <w:rFonts w:ascii="Dell Replica" w:eastAsiaTheme="minorHAnsi" w:hAnsi="Dell Replica" w:cstheme="minorBidi"/>
      <w:sz w:val="24"/>
      <w:szCs w:val="24"/>
      <w:lang w:val="en-US" w:eastAsia="en-US"/>
    </w:rPr>
  </w:style>
  <w:style w:type="character" w:customStyle="1" w:styleId="A15">
    <w:name w:val="A15"/>
    <w:uiPriority w:val="99"/>
    <w:rsid w:val="00CB2BB8"/>
    <w:rPr>
      <w:rFonts w:cs="Dell Replica"/>
      <w:color w:val="000000"/>
      <w:sz w:val="12"/>
      <w:szCs w:val="12"/>
    </w:rPr>
  </w:style>
  <w:style w:type="character" w:customStyle="1" w:styleId="A23">
    <w:name w:val="A23"/>
    <w:uiPriority w:val="99"/>
    <w:rsid w:val="00CB2BB8"/>
    <w:rPr>
      <w:rFonts w:cs="Dell Replica"/>
      <w:color w:val="000000"/>
      <w:sz w:val="7"/>
      <w:szCs w:val="7"/>
    </w:rPr>
  </w:style>
  <w:style w:type="character" w:styleId="UyteHipercze">
    <w:name w:val="FollowedHyperlink"/>
    <w:basedOn w:val="Domylnaczcionkaakapitu"/>
    <w:uiPriority w:val="99"/>
    <w:semiHidden/>
    <w:unhideWhenUsed/>
    <w:rsid w:val="001A344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7E2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E20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87E2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E20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171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C4AB-D495-43B4-B29F-1C169A74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1506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Bielawska</dc:creator>
  <cp:keywords/>
  <dc:description/>
  <cp:lastModifiedBy>Sylwia Bielawska</cp:lastModifiedBy>
  <cp:revision>3</cp:revision>
  <cp:lastPrinted>2024-10-22T09:20:00Z</cp:lastPrinted>
  <dcterms:created xsi:type="dcterms:W3CDTF">2024-11-15T07:28:00Z</dcterms:created>
  <dcterms:modified xsi:type="dcterms:W3CDTF">2024-11-15T09:07:00Z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